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2.emf" ContentType="image/x-emf"/>
  <Override PartName="/word/media/image1.emf" ContentType="image/x-emf"/>
  <Override PartName="/word/embeddings/oleObject2.bin" ContentType="application/vnd.openxmlformats-officedocument.oleObject"/>
  <Override PartName="/word/embeddings/oleObject1.bin" ContentType="application/vnd.openxmlformats-officedocument.oleObject"/>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Bookman Old Style" w:hAnsi="Bookman Old Style"/>
          <w:sz w:val="21"/>
        </w:rPr>
      </w:pPr>
      <w:r>
        <w:rPr/>
        <w:object>
          <v:shape id="ole_rId2" style="width:548.95pt;height:149.95pt" o:ole="">
            <v:imagedata r:id="rId3" o:title=""/>
          </v:shape>
          <o:OLEObject Type="Embed" ProgID="MSPhotoEd.3" ShapeID="ole_rId2" DrawAspect="Content" ObjectID="_2042660165" r:id="rId2"/>
        </w:object>
      </w:r>
    </w:p>
    <w:p>
      <w:pPr>
        <w:pStyle w:val="Normal"/>
        <w:jc w:val="both"/>
        <w:rPr>
          <w:rFonts w:ascii="Bookman Old Style" w:hAnsi="Bookman Old Style"/>
          <w:sz w:val="21"/>
        </w:rPr>
      </w:pPr>
      <w:r>
        <w:rPr>
          <w:rFonts w:ascii="Bookman Old Style" w:hAnsi="Bookman Old Style"/>
          <w:sz w:val="21"/>
        </w:rPr>
      </w:r>
    </w:p>
    <w:p>
      <w:pPr>
        <w:pStyle w:val="Normal"/>
        <w:jc w:val="both"/>
        <w:rPr>
          <w:rFonts w:ascii="Bookman Old Style" w:hAnsi="Bookman Old Style"/>
          <w:sz w:val="22"/>
        </w:rPr>
      </w:pPr>
      <w:r>
        <w:rPr>
          <w:rFonts w:ascii="Bookman Old Style" w:hAnsi="Bookman Old Style"/>
          <w:sz w:val="22"/>
        </w:rPr>
      </w:r>
    </w:p>
    <w:p>
      <w:pPr>
        <w:pStyle w:val="Normal"/>
        <w:jc w:val="both"/>
        <w:rPr>
          <w:rFonts w:ascii="Bookman Old Style" w:hAnsi="Bookman Old Style"/>
          <w:sz w:val="22"/>
        </w:rPr>
      </w:pPr>
      <w:r>
        <w:rPr>
          <w:rFonts w:ascii="Bookman Old Style" w:hAnsi="Bookman Old Style"/>
          <w:sz w:val="22"/>
        </w:rPr>
      </w:r>
    </w:p>
    <w:p>
      <w:pPr>
        <w:pStyle w:val="Normal"/>
        <w:jc w:val="both"/>
        <w:rPr>
          <w:rFonts w:ascii="Bookman Old Style" w:hAnsi="Bookman Old Style"/>
          <w:sz w:val="22"/>
        </w:rPr>
      </w:pPr>
      <w:r>
        <w:rPr>
          <w:rFonts w:ascii="Bookman Old Style" w:hAnsi="Bookman Old Style"/>
          <w:sz w:val="22"/>
        </w:rPr>
      </w:r>
    </w:p>
    <w:p>
      <w:pPr>
        <w:pStyle w:val="Normal"/>
        <w:jc w:val="both"/>
        <w:rPr>
          <w:rFonts w:ascii="Bookman Old Style" w:hAnsi="Bookman Old Style"/>
          <w:sz w:val="22"/>
        </w:rPr>
      </w:pPr>
      <w:r>
        <w:rPr>
          <w:rFonts w:ascii="Bookman Old Style" w:hAnsi="Bookman Old Style"/>
          <w:sz w:val="22"/>
        </w:rPr>
      </w:r>
    </w:p>
    <w:p>
      <w:pPr>
        <w:pStyle w:val="Normal"/>
        <w:jc w:val="center"/>
        <w:rPr>
          <w:rFonts w:ascii="Arial" w:hAnsi="Arial" w:cs="Arial"/>
          <w:u w:val="single"/>
          <w:lang w:val="es-MX"/>
        </w:rPr>
      </w:pPr>
      <w:r>
        <w:rPr>
          <w:rFonts w:cs="Arial" w:ascii="Arial" w:hAnsi="Arial"/>
          <w:u w:val="single"/>
          <w:lang w:val="es-MX"/>
        </w:rPr>
        <w:t>ME-0308 FARMACOLOGÍA CLÍNICA 1 (HSJD)</w:t>
      </w:r>
    </w:p>
    <w:p>
      <w:pPr>
        <w:pStyle w:val="Encabezado2"/>
        <w:rPr>
          <w:rFonts w:ascii="Arial" w:hAnsi="Arial" w:cs="Arial"/>
          <w:bCs/>
          <w:caps w:val="false"/>
          <w:smallCaps w:val="false"/>
          <w:szCs w:val="24"/>
          <w:lang w:val="es-MX"/>
        </w:rPr>
      </w:pPr>
      <w:r>
        <w:rPr>
          <w:rFonts w:cs="Arial" w:ascii="Arial" w:hAnsi="Arial"/>
          <w:bCs/>
          <w:caps w:val="false"/>
          <w:smallCaps w:val="false"/>
          <w:szCs w:val="24"/>
          <w:lang w:val="es-MX"/>
        </w:rPr>
        <w:t>I ciclo 2016</w:t>
      </w:r>
    </w:p>
    <w:p>
      <w:pPr>
        <w:pStyle w:val="Normal"/>
        <w:jc w:val="both"/>
        <w:rPr>
          <w:rFonts w:ascii="Arial" w:hAnsi="Arial" w:cs="Arial"/>
          <w:lang w:val="es-MX"/>
        </w:rPr>
      </w:pPr>
      <w:r>
        <w:rPr>
          <w:rFonts w:cs="Arial" w:ascii="Arial" w:hAnsi="Arial"/>
          <w:lang w:val="es-MX"/>
        </w:rPr>
      </w:r>
    </w:p>
    <w:p>
      <w:pPr>
        <w:pStyle w:val="Normal"/>
        <w:jc w:val="both"/>
        <w:rPr>
          <w:rFonts w:ascii="Arial" w:hAnsi="Arial" w:cs="Arial"/>
          <w:lang w:val="es-MX"/>
        </w:rPr>
      </w:pPr>
      <w:r>
        <w:rPr>
          <w:rFonts w:cs="Arial" w:ascii="Arial" w:hAnsi="Arial"/>
          <w:lang w:val="es-MX"/>
        </w:rPr>
        <w:t xml:space="preserve">Coordinador:  </w:t>
        <w:tab/>
        <w:tab/>
        <w:tab/>
        <w:tab/>
        <w:tab/>
        <w:t>Horario: Lunes: 1:00-4:00 p.m.</w:t>
      </w:r>
    </w:p>
    <w:p>
      <w:pPr>
        <w:pStyle w:val="Normal"/>
        <w:ind w:firstLine="708"/>
        <w:jc w:val="both"/>
        <w:rPr>
          <w:rFonts w:ascii="Arial" w:hAnsi="Arial" w:cs="Arial"/>
        </w:rPr>
      </w:pPr>
      <w:r>
        <w:rPr>
          <w:rFonts w:cs="Arial" w:ascii="Arial" w:hAnsi="Arial"/>
        </w:rPr>
        <w:t>Dr. Chih Hao Chen Ku</w:t>
        <w:tab/>
        <w:tab/>
        <w:tab/>
        <w:tab/>
        <w:t>Aula: Auditorio H.S.J.D.</w:t>
      </w:r>
    </w:p>
    <w:p>
      <w:pPr>
        <w:pStyle w:val="Normal"/>
        <w:rPr/>
      </w:pPr>
      <w:r>
        <w:rPr/>
      </w:r>
    </w:p>
    <w:tbl>
      <w:tblPr>
        <w:tblW w:w="9356"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noVBand="0" w:val="01e0" w:noHBand="0" w:lastColumn="1" w:firstColumn="1" w:lastRow="1" w:firstRow="1"/>
      </w:tblPr>
      <w:tblGrid>
        <w:gridCol w:w="1368"/>
        <w:gridCol w:w="6455"/>
        <w:gridCol w:w="1533"/>
      </w:tblGrid>
      <w:tr>
        <w:trPr/>
        <w:tc>
          <w:tcPr>
            <w:tcW w:w="1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Fecha</w:t>
            </w:r>
          </w:p>
        </w:tc>
        <w:tc>
          <w:tcPr>
            <w:tcW w:w="6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Tema</w:t>
            </w:r>
          </w:p>
        </w:tc>
        <w:tc>
          <w:tcPr>
            <w:tcW w:w="1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Profesor</w:t>
            </w:r>
          </w:p>
        </w:tc>
      </w:tr>
      <w:tr>
        <w:trPr/>
        <w:tc>
          <w:tcPr>
            <w:tcW w:w="1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1 febrero</w:t>
            </w:r>
          </w:p>
        </w:tc>
        <w:tc>
          <w:tcPr>
            <w:tcW w:w="6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Introducción (1h, T)</w:t>
            </w:r>
          </w:p>
          <w:p>
            <w:pPr>
              <w:pStyle w:val="Normal"/>
              <w:rPr>
                <w:lang w:val="es-CR"/>
              </w:rPr>
            </w:pPr>
            <w:r>
              <w:rPr>
                <w:lang w:val="es-CR"/>
              </w:rPr>
              <w:t>Uso de soluciones enterales y parenterales (2h, T)</w:t>
            </w:r>
          </w:p>
        </w:tc>
        <w:tc>
          <w:tcPr>
            <w:tcW w:w="1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Dr. Chen</w:t>
            </w:r>
          </w:p>
          <w:p>
            <w:pPr>
              <w:pStyle w:val="Normal"/>
              <w:rPr>
                <w:lang w:val="es-CR"/>
              </w:rPr>
            </w:pPr>
            <w:r>
              <w:rPr>
                <w:lang w:val="es-CR"/>
              </w:rPr>
            </w:r>
          </w:p>
        </w:tc>
      </w:tr>
      <w:tr>
        <w:trPr/>
        <w:tc>
          <w:tcPr>
            <w:tcW w:w="1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8 febrero</w:t>
            </w:r>
          </w:p>
        </w:tc>
        <w:tc>
          <w:tcPr>
            <w:tcW w:w="6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pt-BR"/>
              </w:rPr>
            </w:pPr>
            <w:r>
              <w:rPr>
                <w:lang w:val="pt-BR"/>
              </w:rPr>
              <w:t>Manejo de artritis por cristales, osteoartrosis y fibromialgia (2h, T)</w:t>
            </w:r>
          </w:p>
          <w:p>
            <w:pPr>
              <w:pStyle w:val="Normal"/>
              <w:rPr>
                <w:lang w:val="pt-BR"/>
              </w:rPr>
            </w:pPr>
            <w:r>
              <w:rPr>
                <w:lang w:val="es-CR"/>
              </w:rPr>
              <w:t>Tratamiento de reacciones alérgicas agudas y anafilaxia (1h, T)</w:t>
            </w:r>
          </w:p>
        </w:tc>
        <w:tc>
          <w:tcPr>
            <w:tcW w:w="1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Dr. Salas</w:t>
            </w:r>
          </w:p>
          <w:p>
            <w:pPr>
              <w:pStyle w:val="Normal"/>
              <w:rPr>
                <w:lang w:val="es-CR"/>
              </w:rPr>
            </w:pPr>
            <w:r>
              <w:rPr>
                <w:lang w:val="es-CR"/>
              </w:rPr>
            </w:r>
          </w:p>
        </w:tc>
      </w:tr>
      <w:tr>
        <w:trPr/>
        <w:tc>
          <w:tcPr>
            <w:tcW w:w="1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15 febrero</w:t>
            </w:r>
          </w:p>
        </w:tc>
        <w:tc>
          <w:tcPr>
            <w:tcW w:w="6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Farmacovigilancia (1h, T)</w:t>
            </w:r>
          </w:p>
          <w:p>
            <w:pPr>
              <w:pStyle w:val="Normal"/>
              <w:rPr>
                <w:lang w:val="es-CR"/>
              </w:rPr>
            </w:pPr>
            <w:r>
              <w:rPr>
                <w:lang w:val="es-CR"/>
              </w:rPr>
              <w:t>Farmacocinética (1h, T)</w:t>
            </w:r>
          </w:p>
          <w:p>
            <w:pPr>
              <w:pStyle w:val="Normal"/>
              <w:rPr>
                <w:lang w:val="pt-BR"/>
              </w:rPr>
            </w:pPr>
            <w:r>
              <w:rPr>
                <w:lang w:val="pt-BR"/>
              </w:rPr>
              <w:t>Introducción al uso de plantas medicinales e interacciones con medicamentos (</w:t>
            </w:r>
            <w:r>
              <w:rPr>
                <w:b/>
                <w:lang w:val="pt-BR"/>
              </w:rPr>
              <w:t>Seminario</w:t>
            </w:r>
            <w:r>
              <w:rPr>
                <w:lang w:val="pt-BR"/>
              </w:rPr>
              <w:t xml:space="preserve"> grupo 1)</w:t>
            </w:r>
          </w:p>
        </w:tc>
        <w:tc>
          <w:tcPr>
            <w:tcW w:w="1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r>
          </w:p>
          <w:p>
            <w:pPr>
              <w:pStyle w:val="Normal"/>
              <w:rPr>
                <w:lang w:val="es-CR"/>
              </w:rPr>
            </w:pPr>
            <w:r>
              <w:rPr>
                <w:lang w:val="es-CR"/>
              </w:rPr>
              <w:t>Dr. Estrada</w:t>
            </w:r>
          </w:p>
        </w:tc>
      </w:tr>
      <w:tr>
        <w:trPr/>
        <w:tc>
          <w:tcPr>
            <w:tcW w:w="1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22 febrero</w:t>
            </w:r>
          </w:p>
        </w:tc>
        <w:tc>
          <w:tcPr>
            <w:tcW w:w="6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Inmunomoduladores en enfermedades reumáticas (1h, T)</w:t>
            </w:r>
          </w:p>
          <w:p>
            <w:pPr>
              <w:pStyle w:val="Normal"/>
              <w:rPr>
                <w:lang w:val="es-CR"/>
              </w:rPr>
            </w:pPr>
            <w:r>
              <w:rPr>
                <w:lang w:val="pt-BR"/>
              </w:rPr>
              <w:t>Uso clínico de glucocorticoides (1h, T)</w:t>
            </w:r>
          </w:p>
          <w:p>
            <w:pPr>
              <w:pStyle w:val="Normal"/>
              <w:rPr>
                <w:lang w:val="pt-BR"/>
              </w:rPr>
            </w:pPr>
            <w:r>
              <w:rPr>
                <w:lang w:val="es-CR"/>
              </w:rPr>
              <w:t xml:space="preserve">Efectos hematológicos de fármacos (1h, </w:t>
            </w:r>
            <w:r>
              <w:rPr>
                <w:b/>
                <w:lang w:val="es-CR"/>
              </w:rPr>
              <w:t>seminario</w:t>
            </w:r>
            <w:r>
              <w:rPr>
                <w:lang w:val="es-CR"/>
              </w:rPr>
              <w:t xml:space="preserve"> grupo 2)</w:t>
            </w:r>
          </w:p>
        </w:tc>
        <w:tc>
          <w:tcPr>
            <w:tcW w:w="1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r>
          </w:p>
          <w:p>
            <w:pPr>
              <w:pStyle w:val="Normal"/>
              <w:rPr>
                <w:lang w:val="es-CR"/>
              </w:rPr>
            </w:pPr>
            <w:r>
              <w:rPr>
                <w:lang w:val="es-CR"/>
              </w:rPr>
              <w:t>Dr. Salas</w:t>
            </w:r>
          </w:p>
        </w:tc>
      </w:tr>
      <w:tr>
        <w:trPr/>
        <w:tc>
          <w:tcPr>
            <w:tcW w:w="1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 xml:space="preserve">29 febrero </w:t>
            </w:r>
          </w:p>
        </w:tc>
        <w:tc>
          <w:tcPr>
            <w:tcW w:w="6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pt-BR"/>
              </w:rPr>
            </w:pPr>
            <w:r>
              <w:rPr>
                <w:lang w:val="pt-BR"/>
              </w:rPr>
              <w:t>Uso clínico de AINES (1h, T)</w:t>
            </w:r>
          </w:p>
          <w:p>
            <w:pPr>
              <w:pStyle w:val="Normal"/>
              <w:rPr>
                <w:lang w:val="pt-BR"/>
              </w:rPr>
            </w:pPr>
            <w:r>
              <w:rPr>
                <w:lang w:val="es-CR"/>
              </w:rPr>
              <w:t>Manejo de alergias (1h, T)</w:t>
            </w:r>
          </w:p>
          <w:p>
            <w:pPr>
              <w:pStyle w:val="Normal"/>
              <w:rPr>
                <w:lang w:val="pt-BR"/>
              </w:rPr>
            </w:pPr>
            <w:r>
              <w:rPr>
                <w:lang w:val="pt-BR"/>
              </w:rPr>
              <w:t>Riesgo cardiovascular de AINEs (</w:t>
            </w:r>
            <w:r>
              <w:rPr>
                <w:b/>
                <w:lang w:val="pt-BR"/>
              </w:rPr>
              <w:t>debate:</w:t>
            </w:r>
            <w:r>
              <w:rPr>
                <w:lang w:val="pt-BR"/>
              </w:rPr>
              <w:t xml:space="preserve"> grupos 3 “AINEs tradicionales” vs grupo 4 “inhibidores selectivos de COX-2”)</w:t>
            </w:r>
          </w:p>
        </w:tc>
        <w:tc>
          <w:tcPr>
            <w:tcW w:w="1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r>
          </w:p>
          <w:p>
            <w:pPr>
              <w:pStyle w:val="Normal"/>
              <w:rPr>
                <w:lang w:val="es-CR"/>
              </w:rPr>
            </w:pPr>
            <w:r>
              <w:rPr>
                <w:lang w:val="es-CR"/>
              </w:rPr>
              <w:t>Dr. Salas</w:t>
            </w:r>
          </w:p>
          <w:p>
            <w:pPr>
              <w:pStyle w:val="Normal"/>
              <w:rPr>
                <w:lang w:val="es-CR"/>
              </w:rPr>
            </w:pPr>
            <w:r>
              <w:rPr>
                <w:lang w:val="es-CR"/>
              </w:rPr>
            </w:r>
          </w:p>
        </w:tc>
      </w:tr>
      <w:tr>
        <w:trPr/>
        <w:tc>
          <w:tcPr>
            <w:tcW w:w="1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7 marzo</w:t>
            </w:r>
          </w:p>
        </w:tc>
        <w:tc>
          <w:tcPr>
            <w:tcW w:w="6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Drogas y riñón (2h, T)</w:t>
            </w:r>
          </w:p>
          <w:p>
            <w:pPr>
              <w:pStyle w:val="Normal"/>
              <w:rPr>
                <w:lang w:val="pt-BR"/>
              </w:rPr>
            </w:pPr>
            <w:r>
              <w:rPr>
                <w:lang w:val="pt-BR"/>
              </w:rPr>
              <w:t>Drogas e hígado (1h, T)</w:t>
            </w:r>
          </w:p>
        </w:tc>
        <w:tc>
          <w:tcPr>
            <w:tcW w:w="1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r>
          </w:p>
          <w:p>
            <w:pPr>
              <w:pStyle w:val="Normal"/>
              <w:rPr>
                <w:lang w:val="es-CR"/>
              </w:rPr>
            </w:pPr>
            <w:r>
              <w:rPr>
                <w:lang w:val="es-CR"/>
              </w:rPr>
              <w:t>Dr. Arguedas</w:t>
            </w:r>
          </w:p>
        </w:tc>
      </w:tr>
      <w:tr>
        <w:trPr/>
        <w:tc>
          <w:tcPr>
            <w:tcW w:w="1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14 marzo</w:t>
            </w:r>
          </w:p>
        </w:tc>
        <w:tc>
          <w:tcPr>
            <w:tcW w:w="6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Drogas y tiroides y manejo de hipotiroidismo primario (1h, T)</w:t>
            </w:r>
          </w:p>
          <w:p>
            <w:pPr>
              <w:pStyle w:val="Normal"/>
              <w:rPr>
                <w:lang w:val="es-CR"/>
              </w:rPr>
            </w:pPr>
            <w:r>
              <w:rPr>
                <w:lang w:val="pt-BR"/>
              </w:rPr>
              <w:t>Tratamiento de osteoporosis (1h, T)</w:t>
            </w:r>
          </w:p>
          <w:p>
            <w:pPr>
              <w:pStyle w:val="Normal"/>
              <w:rPr>
                <w:lang w:val="pt-BR"/>
              </w:rPr>
            </w:pPr>
            <w:r>
              <w:rPr>
                <w:lang w:val="es-CR"/>
              </w:rPr>
              <w:t>S</w:t>
            </w:r>
            <w:r>
              <w:rPr>
                <w:lang w:val="pt-BR"/>
              </w:rPr>
              <w:t>índrome metabólico y prevención de diabetes (</w:t>
            </w:r>
            <w:r>
              <w:rPr>
                <w:b/>
                <w:lang w:val="pt-BR"/>
              </w:rPr>
              <w:t>debate:</w:t>
            </w:r>
            <w:r>
              <w:rPr>
                <w:lang w:val="pt-BR"/>
              </w:rPr>
              <w:t xml:space="preserve"> grupo 5 “a favor de fármacos” y grupo 6 “a favor de modificación de estilos de vida”)</w:t>
            </w:r>
          </w:p>
        </w:tc>
        <w:tc>
          <w:tcPr>
            <w:tcW w:w="1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r>
          </w:p>
          <w:p>
            <w:pPr>
              <w:pStyle w:val="Normal"/>
              <w:rPr>
                <w:lang w:val="es-CR"/>
              </w:rPr>
            </w:pPr>
            <w:r>
              <w:rPr>
                <w:lang w:val="es-CR"/>
              </w:rPr>
              <w:t>Dr. Chen</w:t>
            </w:r>
          </w:p>
        </w:tc>
      </w:tr>
      <w:tr>
        <w:trPr/>
        <w:tc>
          <w:tcPr>
            <w:tcW w:w="1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21 marzo</w:t>
            </w:r>
          </w:p>
        </w:tc>
        <w:tc>
          <w:tcPr>
            <w:tcW w:w="6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Semana Santa</w:t>
            </w:r>
          </w:p>
        </w:tc>
        <w:tc>
          <w:tcPr>
            <w:tcW w:w="1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r>
          </w:p>
        </w:tc>
      </w:tr>
      <w:tr>
        <w:trPr/>
        <w:tc>
          <w:tcPr>
            <w:tcW w:w="1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28 marzo</w:t>
            </w:r>
          </w:p>
          <w:p>
            <w:pPr>
              <w:pStyle w:val="Normal"/>
              <w:rPr>
                <w:lang w:val="es-CR"/>
              </w:rPr>
            </w:pPr>
            <w:r>
              <w:rPr>
                <w:lang w:val="es-CR"/>
              </w:rPr>
            </w:r>
          </w:p>
        </w:tc>
        <w:tc>
          <w:tcPr>
            <w:tcW w:w="6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r>
              <w:rPr>
                <w:lang w:val="es-CR"/>
              </w:rPr>
              <w:t xml:space="preserve">I examen parcial (hasta la clase del 14 de marzo inclusive. </w:t>
            </w:r>
            <w:r>
              <w:rPr/>
              <w:t>Dr: Chen 25%, Dr. Salas 45%, Dr. Estrada 15</w:t>
            </w:r>
            <w:r>
              <w:rPr>
                <w:lang w:val="es-MX"/>
              </w:rPr>
              <w:t xml:space="preserve">%, </w:t>
            </w:r>
          </w:p>
          <w:p>
            <w:pPr>
              <w:pStyle w:val="Normal"/>
              <w:rPr>
                <w:lang w:val="es-MX"/>
              </w:rPr>
            </w:pPr>
            <w:r>
              <w:rPr>
                <w:lang w:val="es-MX"/>
              </w:rPr>
              <w:t>Dr. Arguedas 15%)</w:t>
            </w:r>
          </w:p>
          <w:p>
            <w:pPr>
              <w:pStyle w:val="Normal"/>
              <w:rPr>
                <w:lang w:val="es-CR"/>
              </w:rPr>
            </w:pPr>
            <w:r>
              <w:rPr>
                <w:lang w:val="pt-BR"/>
              </w:rPr>
              <w:t>Drogas en dislipidemias (2h, T)</w:t>
            </w:r>
          </w:p>
        </w:tc>
        <w:tc>
          <w:tcPr>
            <w:tcW w:w="1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Dr. Chen</w:t>
            </w:r>
          </w:p>
          <w:p>
            <w:pPr>
              <w:pStyle w:val="Normal"/>
              <w:rPr>
                <w:lang w:val="es-CR"/>
              </w:rPr>
            </w:pPr>
            <w:r>
              <w:rPr>
                <w:lang w:val="es-CR"/>
              </w:rPr>
            </w:r>
          </w:p>
        </w:tc>
      </w:tr>
      <w:tr>
        <w:trPr/>
        <w:tc>
          <w:tcPr>
            <w:tcW w:w="1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4 abril</w:t>
            </w:r>
          </w:p>
        </w:tc>
        <w:tc>
          <w:tcPr>
            <w:tcW w:w="6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pt-BR"/>
              </w:rPr>
            </w:pPr>
            <w:r>
              <w:rPr>
                <w:lang w:val="es-CR"/>
              </w:rPr>
              <w:t>Uso racional de medicamentos (1h, T)</w:t>
            </w:r>
          </w:p>
          <w:p>
            <w:pPr>
              <w:pStyle w:val="Normal"/>
              <w:rPr>
                <w:lang w:val="pt-BR"/>
              </w:rPr>
            </w:pPr>
            <w:r>
              <w:rPr>
                <w:lang w:val="pt-BR"/>
              </w:rPr>
              <w:t>Manejo de anemias (1h, T)</w:t>
            </w:r>
          </w:p>
          <w:p>
            <w:pPr>
              <w:pStyle w:val="Normal"/>
              <w:rPr>
                <w:lang w:val="pt-BR"/>
              </w:rPr>
            </w:pPr>
            <w:r>
              <w:rPr>
                <w:lang w:val="es-CR"/>
              </w:rPr>
              <w:t>Reacciones adversas a fármacos (</w:t>
            </w:r>
            <w:r>
              <w:rPr>
                <w:b/>
                <w:lang w:val="es-CR"/>
              </w:rPr>
              <w:t>seminario</w:t>
            </w:r>
            <w:r>
              <w:rPr>
                <w:lang w:val="es-CR"/>
              </w:rPr>
              <w:t xml:space="preserve"> grupo 7)</w:t>
            </w:r>
          </w:p>
        </w:tc>
        <w:tc>
          <w:tcPr>
            <w:tcW w:w="1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r>
          </w:p>
          <w:p>
            <w:pPr>
              <w:pStyle w:val="Normal"/>
              <w:rPr>
                <w:lang w:val="es-CR"/>
              </w:rPr>
            </w:pPr>
            <w:r>
              <w:rPr>
                <w:lang w:val="es-CR"/>
              </w:rPr>
              <w:t xml:space="preserve">Dr. </w:t>
            </w:r>
            <w:r>
              <w:rPr>
                <w:lang w:val="es-MX"/>
              </w:rPr>
              <w:t>Estrada</w:t>
            </w:r>
          </w:p>
        </w:tc>
      </w:tr>
      <w:tr>
        <w:trPr/>
        <w:tc>
          <w:tcPr>
            <w:tcW w:w="1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11 abril</w:t>
            </w:r>
          </w:p>
        </w:tc>
        <w:tc>
          <w:tcPr>
            <w:tcW w:w="6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 xml:space="preserve">Feriado </w:t>
            </w:r>
          </w:p>
        </w:tc>
        <w:tc>
          <w:tcPr>
            <w:tcW w:w="1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r>
          </w:p>
        </w:tc>
      </w:tr>
      <w:tr>
        <w:trPr/>
        <w:tc>
          <w:tcPr>
            <w:tcW w:w="1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18 abril</w:t>
            </w:r>
          </w:p>
        </w:tc>
        <w:tc>
          <w:tcPr>
            <w:tcW w:w="6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Complicaciones agudas de diabetes (</w:t>
            </w:r>
            <w:r>
              <w:rPr>
                <w:b/>
                <w:lang w:val="es-CR"/>
              </w:rPr>
              <w:t>seminario</w:t>
            </w:r>
            <w:r>
              <w:rPr>
                <w:lang w:val="es-CR"/>
              </w:rPr>
              <w:t xml:space="preserve"> grupo 8)</w:t>
            </w:r>
          </w:p>
          <w:p>
            <w:pPr>
              <w:pStyle w:val="Normal"/>
              <w:rPr>
                <w:lang w:val="es-CR"/>
              </w:rPr>
            </w:pPr>
            <w:r>
              <w:rPr>
                <w:lang w:val="pt-BR"/>
              </w:rPr>
              <w:t xml:space="preserve">Complicaciones oncológicas </w:t>
            </w:r>
            <w:r>
              <w:rPr>
                <w:lang w:val="es-CR"/>
              </w:rPr>
              <w:t>(2h, T)</w:t>
            </w:r>
          </w:p>
        </w:tc>
        <w:tc>
          <w:tcPr>
            <w:tcW w:w="1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r>
              <w:rPr>
                <w:lang w:val="es-CR"/>
              </w:rPr>
              <w:t>D</w:t>
            </w:r>
            <w:r>
              <w:rPr>
                <w:lang w:val="es-CR"/>
              </w:rPr>
              <w:t>r. Arguedas</w:t>
            </w:r>
          </w:p>
          <w:p>
            <w:pPr>
              <w:pStyle w:val="Normal"/>
              <w:rPr>
                <w:lang w:val="es-CR"/>
              </w:rPr>
            </w:pPr>
            <w:r>
              <w:rPr>
                <w:lang w:val="es-CR"/>
              </w:rPr>
            </w:r>
          </w:p>
        </w:tc>
      </w:tr>
      <w:tr>
        <w:trPr/>
        <w:tc>
          <w:tcPr>
            <w:tcW w:w="1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r>
          </w:p>
          <w:p>
            <w:pPr>
              <w:pStyle w:val="Normal"/>
              <w:rPr>
                <w:lang w:val="es-CR"/>
              </w:rPr>
            </w:pPr>
            <w:r>
              <w:rPr>
                <w:lang w:val="es-CR"/>
              </w:rPr>
              <w:t>25 abril</w:t>
            </w:r>
          </w:p>
        </w:tc>
        <w:tc>
          <w:tcPr>
            <w:tcW w:w="6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pt-BR"/>
              </w:rPr>
            </w:pPr>
            <w:r>
              <w:rPr>
                <w:lang w:val="pt-BR"/>
              </w:rPr>
              <w:t>Emergencias endocrinológicas no diabéticas (</w:t>
            </w:r>
            <w:r>
              <w:rPr>
                <w:b/>
                <w:lang w:val="pt-BR"/>
              </w:rPr>
              <w:t>caso clínico</w:t>
            </w:r>
            <w:r>
              <w:rPr>
                <w:lang w:val="pt-BR"/>
              </w:rPr>
              <w:t xml:space="preserve"> grupo 3)</w:t>
            </w:r>
          </w:p>
          <w:p>
            <w:pPr>
              <w:pStyle w:val="Normal"/>
              <w:rPr>
                <w:lang w:val="pt-BR"/>
              </w:rPr>
            </w:pPr>
            <w:r>
              <w:rPr>
                <w:lang w:val="es-CR"/>
              </w:rPr>
              <w:t>Antidiabéticos orales (2h, T)</w:t>
            </w:r>
          </w:p>
        </w:tc>
        <w:tc>
          <w:tcPr>
            <w:tcW w:w="1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r>
          </w:p>
          <w:p>
            <w:pPr>
              <w:pStyle w:val="Normal"/>
              <w:rPr>
                <w:lang w:val="es-CR"/>
              </w:rPr>
            </w:pPr>
            <w:r>
              <w:rPr>
                <w:lang w:val="es-CR"/>
              </w:rPr>
              <w:t>Dr. Chen</w:t>
            </w:r>
          </w:p>
        </w:tc>
      </w:tr>
      <w:tr>
        <w:trPr/>
        <w:tc>
          <w:tcPr>
            <w:tcW w:w="1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 xml:space="preserve">2 mayo </w:t>
            </w:r>
          </w:p>
          <w:p>
            <w:pPr>
              <w:pStyle w:val="Normal"/>
              <w:rPr>
                <w:lang w:val="es-CR"/>
              </w:rPr>
            </w:pPr>
            <w:r>
              <w:rPr>
                <w:lang w:val="es-CR"/>
              </w:rPr>
            </w:r>
          </w:p>
        </w:tc>
        <w:tc>
          <w:tcPr>
            <w:tcW w:w="6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pt-BR"/>
              </w:rPr>
            </w:pPr>
            <w:r>
              <w:rPr>
                <w:lang w:val="pt-BR"/>
              </w:rPr>
              <w:t>Insulinas (1h, T)</w:t>
            </w:r>
          </w:p>
          <w:p>
            <w:pPr>
              <w:pStyle w:val="Normal"/>
              <w:rPr>
                <w:lang w:val="es-CR"/>
              </w:rPr>
            </w:pPr>
            <w:r>
              <w:rPr>
                <w:lang w:val="es-CR"/>
              </w:rPr>
              <w:t>Complicaciones crónicas de diabetes (1h, T)</w:t>
            </w:r>
          </w:p>
          <w:p>
            <w:pPr>
              <w:pStyle w:val="Normal"/>
              <w:rPr>
                <w:lang w:val="pt-BR"/>
              </w:rPr>
            </w:pPr>
            <w:r>
              <w:rPr>
                <w:lang w:val="es-CR"/>
              </w:rPr>
              <w:t>Tratamiento de hipertiroidismo (</w:t>
            </w:r>
            <w:r>
              <w:rPr>
                <w:b/>
                <w:lang w:val="es-CR"/>
              </w:rPr>
              <w:t>debate</w:t>
            </w:r>
            <w:r>
              <w:rPr>
                <w:lang w:val="es-CR"/>
              </w:rPr>
              <w:t>: grupo 1 “a favor de I131” y grupo 2 “a favor de antitiroideos”)</w:t>
            </w:r>
          </w:p>
        </w:tc>
        <w:tc>
          <w:tcPr>
            <w:tcW w:w="1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Dr. Chen</w:t>
            </w:r>
          </w:p>
        </w:tc>
      </w:tr>
      <w:tr>
        <w:trPr/>
        <w:tc>
          <w:tcPr>
            <w:tcW w:w="1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9 mayo</w:t>
            </w:r>
          </w:p>
        </w:tc>
        <w:tc>
          <w:tcPr>
            <w:tcW w:w="6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pt-BR"/>
              </w:rPr>
            </w:pPr>
            <w:r>
              <w:rPr>
                <w:lang w:val="pt-BR"/>
              </w:rPr>
              <w:t>Uso de anticonvulsivantes (2h, T)</w:t>
            </w:r>
          </w:p>
          <w:p>
            <w:pPr>
              <w:pStyle w:val="Normal"/>
              <w:rPr>
                <w:lang w:val="pt-BR"/>
              </w:rPr>
            </w:pPr>
            <w:r>
              <w:rPr>
                <w:lang w:val="pt-BR"/>
              </w:rPr>
              <w:t xml:space="preserve">Status epilepticus (1h, </w:t>
            </w:r>
            <w:r>
              <w:rPr>
                <w:b/>
                <w:lang w:val="pt-BR"/>
              </w:rPr>
              <w:t>caso clínico</w:t>
            </w:r>
            <w:r>
              <w:rPr>
                <w:lang w:val="pt-BR"/>
              </w:rPr>
              <w:t xml:space="preserve"> grupo 4)</w:t>
            </w:r>
          </w:p>
        </w:tc>
        <w:tc>
          <w:tcPr>
            <w:tcW w:w="1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pt-BR"/>
              </w:rPr>
            </w:pPr>
            <w:r>
              <w:rPr>
                <w:lang w:val="pt-BR"/>
              </w:rPr>
            </w:r>
          </w:p>
          <w:p>
            <w:pPr>
              <w:pStyle w:val="Normal"/>
              <w:rPr>
                <w:lang w:val="pt-BR"/>
              </w:rPr>
            </w:pPr>
            <w:r>
              <w:rPr>
                <w:lang w:val="es-CR"/>
              </w:rPr>
              <w:t>Dr. Estrada</w:t>
            </w:r>
          </w:p>
        </w:tc>
      </w:tr>
      <w:tr>
        <w:trPr/>
        <w:tc>
          <w:tcPr>
            <w:tcW w:w="1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16 mayo</w:t>
            </w:r>
          </w:p>
        </w:tc>
        <w:tc>
          <w:tcPr>
            <w:tcW w:w="6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color w:val="FF0000"/>
                <w:lang w:val="es-CR"/>
              </w:rPr>
            </w:pPr>
            <w:r>
              <w:rPr>
                <w:lang w:val="es-CR"/>
              </w:rPr>
              <w:t>Tratamiento de vértigo y utilización de antiheméticos (1h, T)</w:t>
            </w:r>
          </w:p>
          <w:p>
            <w:pPr>
              <w:pStyle w:val="Normal"/>
              <w:rPr>
                <w:lang w:val="pt-BR"/>
              </w:rPr>
            </w:pPr>
            <w:r>
              <w:rPr>
                <w:lang w:val="pt-BR"/>
              </w:rPr>
              <w:t>Edema cerebral e hipertensión endocraneana (1h, T)</w:t>
            </w:r>
          </w:p>
          <w:p>
            <w:pPr>
              <w:pStyle w:val="Normal"/>
              <w:rPr>
                <w:lang w:val="es-CR"/>
              </w:rPr>
            </w:pPr>
            <w:r>
              <w:rPr>
                <w:lang w:val="pt-BR"/>
              </w:rPr>
              <w:t xml:space="preserve">Manejo de AVC (1h, </w:t>
            </w:r>
            <w:r>
              <w:rPr>
                <w:b/>
                <w:lang w:val="pt-BR"/>
              </w:rPr>
              <w:t>caso clínico grupo 5</w:t>
            </w:r>
            <w:r>
              <w:rPr>
                <w:lang w:val="pt-BR"/>
              </w:rPr>
              <w:t>)</w:t>
            </w:r>
          </w:p>
        </w:tc>
        <w:tc>
          <w:tcPr>
            <w:tcW w:w="1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pt-BR"/>
              </w:rPr>
            </w:pPr>
            <w:r>
              <w:rPr>
                <w:lang w:val="pt-BR"/>
              </w:rPr>
            </w:r>
          </w:p>
          <w:p>
            <w:pPr>
              <w:pStyle w:val="Normal"/>
              <w:rPr>
                <w:lang w:val="pt-BR"/>
              </w:rPr>
            </w:pPr>
            <w:r>
              <w:rPr>
                <w:lang w:val="pt-BR"/>
              </w:rPr>
              <w:t>Dr. Arguedas</w:t>
            </w:r>
          </w:p>
        </w:tc>
      </w:tr>
      <w:tr>
        <w:trPr/>
        <w:tc>
          <w:tcPr>
            <w:tcW w:w="1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23 mayo</w:t>
            </w:r>
          </w:p>
        </w:tc>
        <w:tc>
          <w:tcPr>
            <w:tcW w:w="6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Tratamiento de cefaleas (1h, T)</w:t>
            </w:r>
          </w:p>
          <w:p>
            <w:pPr>
              <w:pStyle w:val="Normal"/>
              <w:rPr>
                <w:lang w:val="es-CR"/>
              </w:rPr>
            </w:pPr>
            <w:r>
              <w:rPr>
                <w:lang w:val="pt-BR"/>
              </w:rPr>
              <w:t>Reemplazo estrogénico (</w:t>
            </w:r>
            <w:r>
              <w:rPr>
                <w:b/>
                <w:lang w:val="pt-BR"/>
              </w:rPr>
              <w:t>debate:</w:t>
            </w:r>
            <w:r>
              <w:rPr>
                <w:lang w:val="pt-BR"/>
              </w:rPr>
              <w:t xml:space="preserve"> grupo 7 “a favor” vs grupo 8 “en contra”)</w:t>
            </w:r>
          </w:p>
          <w:p>
            <w:pPr>
              <w:pStyle w:val="Normal"/>
              <w:rPr>
                <w:lang w:val="pt-BR"/>
              </w:rPr>
            </w:pPr>
            <w:r>
              <w:rPr>
                <w:lang w:val="es-CR"/>
              </w:rPr>
              <w:t>Drogas en enfermedad de Parkinson y otras distonías (1h, T)</w:t>
            </w:r>
          </w:p>
        </w:tc>
        <w:tc>
          <w:tcPr>
            <w:tcW w:w="1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pt-BR"/>
              </w:rPr>
            </w:pPr>
            <w:r>
              <w:rPr>
                <w:lang w:val="pt-BR"/>
              </w:rPr>
            </w:r>
          </w:p>
          <w:p>
            <w:pPr>
              <w:pStyle w:val="Normal"/>
              <w:rPr>
                <w:lang w:val="pt-BR"/>
              </w:rPr>
            </w:pPr>
            <w:r>
              <w:rPr>
                <w:lang w:val="es-CR"/>
              </w:rPr>
              <w:t>Dr. Arguedas</w:t>
            </w:r>
          </w:p>
        </w:tc>
      </w:tr>
      <w:tr>
        <w:trPr/>
        <w:tc>
          <w:tcPr>
            <w:tcW w:w="1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30 mayo</w:t>
            </w:r>
          </w:p>
        </w:tc>
        <w:tc>
          <w:tcPr>
            <w:tcW w:w="6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pt-BR"/>
              </w:rPr>
              <w:t xml:space="preserve">Farmacoterapia en pediatría </w:t>
            </w:r>
            <w:r>
              <w:rPr>
                <w:lang w:val="es-CR"/>
              </w:rPr>
              <w:t>(1h, T)</w:t>
            </w:r>
          </w:p>
          <w:p>
            <w:pPr>
              <w:pStyle w:val="Normal"/>
              <w:rPr>
                <w:lang w:val="es-CR"/>
              </w:rPr>
            </w:pPr>
            <w:r>
              <w:rPr>
                <w:lang w:val="es-CR"/>
              </w:rPr>
              <w:t>Farmacoterapia en el adulto mayor (1h)</w:t>
            </w:r>
          </w:p>
          <w:p>
            <w:pPr>
              <w:pStyle w:val="Normal"/>
              <w:rPr>
                <w:color w:val="FF0000"/>
                <w:lang w:val="pt-BR"/>
              </w:rPr>
            </w:pPr>
            <w:r>
              <w:rPr>
                <w:lang w:val="es-CR"/>
              </w:rPr>
              <w:t>Farmacoterapia durante embarazo y lactancia (</w:t>
            </w:r>
            <w:r>
              <w:rPr>
                <w:b/>
                <w:lang w:val="es-CR"/>
              </w:rPr>
              <w:t>Seminario</w:t>
            </w:r>
            <w:r>
              <w:rPr>
                <w:lang w:val="es-CR"/>
              </w:rPr>
              <w:t xml:space="preserve"> grupo 6)</w:t>
            </w:r>
          </w:p>
        </w:tc>
        <w:tc>
          <w:tcPr>
            <w:tcW w:w="1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r>
          </w:p>
          <w:p>
            <w:pPr>
              <w:pStyle w:val="Normal"/>
              <w:rPr>
                <w:lang w:val="es-CR"/>
              </w:rPr>
            </w:pPr>
            <w:r>
              <w:rPr>
                <w:lang w:val="es-CR"/>
              </w:rPr>
              <w:t>Dr. Estrada</w:t>
            </w:r>
          </w:p>
        </w:tc>
      </w:tr>
      <w:tr>
        <w:trPr/>
        <w:tc>
          <w:tcPr>
            <w:tcW w:w="1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6 junio</w:t>
            </w:r>
          </w:p>
        </w:tc>
        <w:tc>
          <w:tcPr>
            <w:tcW w:w="6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II Examen parcial (Hasta la clase del 30 de mayo inclusive. Porcentajes: Dr. Arguedas 35%, Dr. Chen 30%, Dr. Estrada 35%)</w:t>
            </w:r>
          </w:p>
        </w:tc>
        <w:tc>
          <w:tcPr>
            <w:tcW w:w="1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r>
          </w:p>
          <w:p>
            <w:pPr>
              <w:pStyle w:val="Normal"/>
              <w:rPr>
                <w:lang w:val="es-CR"/>
              </w:rPr>
            </w:pPr>
            <w:r>
              <w:rPr>
                <w:lang w:val="es-CR"/>
              </w:rPr>
            </w:r>
          </w:p>
        </w:tc>
      </w:tr>
      <w:tr>
        <w:trPr/>
        <w:tc>
          <w:tcPr>
            <w:tcW w:w="1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13 junio</w:t>
            </w:r>
          </w:p>
        </w:tc>
        <w:tc>
          <w:tcPr>
            <w:tcW w:w="6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(reprogramación tentativa en caso necesario)</w:t>
            </w:r>
          </w:p>
        </w:tc>
        <w:tc>
          <w:tcPr>
            <w:tcW w:w="1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r>
          </w:p>
        </w:tc>
      </w:tr>
      <w:tr>
        <w:trPr/>
        <w:tc>
          <w:tcPr>
            <w:tcW w:w="1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20 junio</w:t>
            </w:r>
          </w:p>
          <w:p>
            <w:pPr>
              <w:pStyle w:val="Normal"/>
              <w:rPr>
                <w:lang w:val="es-CR"/>
              </w:rPr>
            </w:pPr>
            <w:r>
              <w:rPr>
                <w:lang w:val="es-CR"/>
              </w:rPr>
            </w:r>
          </w:p>
        </w:tc>
        <w:tc>
          <w:tcPr>
            <w:tcW w:w="6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t>Examen final (toda la materia. Porcentajes: Dr. Chen 28%, Dr. Arguedas 26%, Dr. Salas 20%, Dr. Estrada 26%)</w:t>
            </w:r>
          </w:p>
        </w:tc>
        <w:tc>
          <w:tcPr>
            <w:tcW w:w="1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s-CR"/>
              </w:rPr>
            </w:pPr>
            <w:r>
              <w:rPr>
                <w:lang w:val="es-CR"/>
              </w:rPr>
            </w:r>
          </w:p>
        </w:tc>
      </w:tr>
    </w:tbl>
    <w:p>
      <w:pPr>
        <w:pStyle w:val="Normal"/>
        <w:rPr>
          <w:lang w:val="es-MX"/>
        </w:rPr>
      </w:pPr>
      <w:r>
        <w:rPr>
          <w:lang w:val="es-MX"/>
        </w:rPr>
      </w:r>
    </w:p>
    <w:p>
      <w:pPr>
        <w:pStyle w:val="Normal"/>
        <w:jc w:val="both"/>
        <w:rPr>
          <w:rFonts w:ascii="Arial" w:hAnsi="Arial" w:cs="Arial"/>
          <w:b/>
          <w:b/>
          <w:bCs/>
          <w:sz w:val="22"/>
          <w:lang w:val="es-CR"/>
        </w:rPr>
      </w:pPr>
      <w:r>
        <w:rPr>
          <w:rFonts w:cs="Arial" w:ascii="Arial" w:hAnsi="Arial"/>
          <w:b/>
          <w:bCs/>
          <w:sz w:val="22"/>
          <w:lang w:val="es-CR"/>
        </w:rPr>
        <w:t>Profesores:</w:t>
      </w:r>
    </w:p>
    <w:p>
      <w:pPr>
        <w:pStyle w:val="Normal"/>
        <w:jc w:val="both"/>
        <w:rPr>
          <w:rFonts w:ascii="Arial" w:hAnsi="Arial" w:cs="Arial"/>
          <w:sz w:val="22"/>
        </w:rPr>
      </w:pPr>
      <w:r>
        <w:rPr>
          <w:rFonts w:cs="Arial" w:ascii="Arial" w:hAnsi="Arial"/>
          <w:sz w:val="22"/>
        </w:rPr>
        <w:t>Dr. Chih Hao Chen Ku (coordinador)</w:t>
      </w:r>
    </w:p>
    <w:p>
      <w:pPr>
        <w:pStyle w:val="Normal"/>
        <w:jc w:val="both"/>
        <w:rPr>
          <w:rFonts w:ascii="Arial" w:hAnsi="Arial" w:cs="Arial"/>
          <w:sz w:val="22"/>
          <w:lang w:val="es-MX"/>
        </w:rPr>
      </w:pPr>
      <w:r>
        <w:rPr>
          <w:rFonts w:cs="Arial" w:ascii="Arial" w:hAnsi="Arial"/>
          <w:sz w:val="22"/>
          <w:lang w:val="es-MX"/>
        </w:rPr>
        <w:t>Dr. Carlos Estrada</w:t>
      </w:r>
    </w:p>
    <w:p>
      <w:pPr>
        <w:pStyle w:val="Normal"/>
        <w:jc w:val="both"/>
        <w:rPr>
          <w:rFonts w:ascii="Arial" w:hAnsi="Arial" w:cs="Arial"/>
          <w:sz w:val="22"/>
          <w:lang w:val="es-CR"/>
        </w:rPr>
      </w:pPr>
      <w:r>
        <w:rPr>
          <w:rFonts w:cs="Arial" w:ascii="Arial" w:hAnsi="Arial"/>
          <w:sz w:val="22"/>
          <w:lang w:val="es-CR"/>
        </w:rPr>
        <w:t>Dr. José Agustín Arguedas</w:t>
      </w:r>
    </w:p>
    <w:p>
      <w:pPr>
        <w:pStyle w:val="Normal"/>
        <w:jc w:val="both"/>
        <w:rPr>
          <w:rFonts w:ascii="Arial" w:hAnsi="Arial" w:cs="Arial"/>
          <w:sz w:val="22"/>
          <w:lang w:val="es-CR"/>
        </w:rPr>
      </w:pPr>
      <w:r>
        <w:rPr>
          <w:rFonts w:cs="Arial" w:ascii="Arial" w:hAnsi="Arial"/>
          <w:sz w:val="22"/>
          <w:lang w:val="es-CR"/>
        </w:rPr>
        <w:t>Dr. Isaías Salas Herrera</w:t>
      </w:r>
    </w:p>
    <w:p>
      <w:pPr>
        <w:pStyle w:val="Normal"/>
        <w:jc w:val="both"/>
        <w:rPr>
          <w:rFonts w:ascii="Arial" w:hAnsi="Arial" w:cs="Arial"/>
          <w:sz w:val="22"/>
          <w:lang w:val="es-CR"/>
        </w:rPr>
      </w:pPr>
      <w:r>
        <w:rPr>
          <w:rFonts w:cs="Arial" w:ascii="Arial" w:hAnsi="Arial"/>
          <w:sz w:val="22"/>
          <w:lang w:val="es-CR"/>
        </w:rPr>
      </w:r>
    </w:p>
    <w:p>
      <w:pPr>
        <w:pStyle w:val="Normal"/>
        <w:jc w:val="both"/>
        <w:rPr>
          <w:rFonts w:ascii="Arial" w:hAnsi="Arial" w:cs="Arial"/>
          <w:sz w:val="22"/>
          <w:lang w:val="es-CR"/>
        </w:rPr>
      </w:pPr>
      <w:r>
        <w:rPr>
          <w:rFonts w:cs="Arial" w:ascii="Arial" w:hAnsi="Arial"/>
          <w:sz w:val="22"/>
          <w:lang w:val="es-CR"/>
        </w:rPr>
      </w:r>
    </w:p>
    <w:p>
      <w:pPr>
        <w:pStyle w:val="Normal"/>
        <w:jc w:val="center"/>
        <w:rPr>
          <w:lang w:val="es-MX"/>
        </w:rPr>
      </w:pPr>
      <w:r>
        <w:rPr/>
        <w:object>
          <v:shape id="ole_rId4" style="width:498.65pt;height:141.6pt" o:ole="">
            <v:imagedata r:id="rId5" o:title=""/>
          </v:shape>
          <o:OLEObject Type="Embed" ProgID="MSPhotoEd.3" ShapeID="ole_rId4" DrawAspect="Content" ObjectID="_444592854" r:id="rId4"/>
        </w:object>
      </w:r>
      <w:r>
        <w:rPr>
          <w:lang w:val="es-MX"/>
        </w:rPr>
        <w:t>ME-0308 FARMACOLOGÍA CLÍNICA</w:t>
      </w:r>
    </w:p>
    <w:p>
      <w:pPr>
        <w:pStyle w:val="Normal"/>
        <w:jc w:val="center"/>
        <w:rPr>
          <w:lang w:val="es-CR"/>
        </w:rPr>
      </w:pPr>
      <w:r>
        <w:rPr>
          <w:lang w:val="es-CR"/>
        </w:rPr>
        <w:t>HOSPITAL SAN JUAN DE DIOS</w:t>
      </w:r>
    </w:p>
    <w:p>
      <w:pPr>
        <w:pStyle w:val="Encabezado2"/>
        <w:rPr>
          <w:bCs/>
          <w:caps w:val="false"/>
          <w:smallCaps w:val="false"/>
          <w:szCs w:val="24"/>
          <w:lang w:val="es-MX"/>
        </w:rPr>
      </w:pPr>
      <w:bookmarkStart w:id="0" w:name="_GoBack"/>
      <w:bookmarkEnd w:id="0"/>
      <w:r>
        <w:rPr>
          <w:bCs/>
          <w:caps w:val="false"/>
          <w:smallCaps w:val="false"/>
          <w:szCs w:val="24"/>
          <w:lang w:val="es-MX"/>
        </w:rPr>
        <w:t>I ciclo 2016</w:t>
      </w:r>
    </w:p>
    <w:p>
      <w:pPr>
        <w:pStyle w:val="Normal"/>
        <w:rPr>
          <w:lang w:val="es-CR"/>
        </w:rPr>
      </w:pPr>
      <w:r>
        <w:rPr>
          <w:lang w:val="es-CR"/>
        </w:rPr>
      </w:r>
    </w:p>
    <w:p>
      <w:pPr>
        <w:pStyle w:val="Normal"/>
        <w:rPr>
          <w:lang w:val="es-CR"/>
        </w:rPr>
      </w:pPr>
      <w:r>
        <w:rPr>
          <w:lang w:val="es-CR"/>
        </w:rPr>
        <w:t xml:space="preserve">Coordinador:  </w:t>
        <w:tab/>
        <w:tab/>
        <w:tab/>
        <w:tab/>
        <w:tab/>
        <w:tab/>
        <w:t>Horario:     Lunes de 1a 4 p.m.</w:t>
      </w:r>
    </w:p>
    <w:p>
      <w:pPr>
        <w:pStyle w:val="Normal"/>
        <w:rPr/>
      </w:pPr>
      <w:r>
        <w:rPr/>
        <w:t>Dr. Chen Ku Chih Hao</w:t>
        <w:tab/>
        <w:tab/>
        <w:tab/>
        <w:tab/>
        <w:tab/>
        <w:t>Aula:         Hospital S. J. de D.</w:t>
      </w:r>
    </w:p>
    <w:p>
      <w:pPr>
        <w:pStyle w:val="Normal"/>
        <w:rPr/>
      </w:pPr>
      <w:r>
        <w:rPr/>
        <w:tab/>
        <w:tab/>
        <w:tab/>
        <w:tab/>
        <w:tab/>
        <w:tab/>
        <w:tab/>
        <w:tab/>
      </w:r>
    </w:p>
    <w:p>
      <w:pPr>
        <w:pStyle w:val="Normal"/>
        <w:rPr>
          <w:b/>
          <w:b/>
          <w:bCs/>
          <w:lang w:val="es-CR"/>
        </w:rPr>
      </w:pPr>
      <w:r>
        <w:rPr>
          <w:b/>
          <w:bCs/>
          <w:lang w:val="es-CR"/>
        </w:rPr>
        <w:t>I   DESCRIPCIÓN DEL CURSO:</w:t>
      </w:r>
    </w:p>
    <w:p>
      <w:pPr>
        <w:pStyle w:val="Cuerpodetexto"/>
        <w:ind w:left="360" w:hanging="0"/>
        <w:jc w:val="both"/>
        <w:rPr>
          <w:sz w:val="24"/>
        </w:rPr>
      </w:pPr>
      <w:r>
        <w:rPr>
          <w:sz w:val="24"/>
        </w:rPr>
      </w:r>
    </w:p>
    <w:p>
      <w:pPr>
        <w:pStyle w:val="Cuerpodetexto"/>
        <w:ind w:left="360" w:hanging="0"/>
        <w:jc w:val="both"/>
        <w:rPr>
          <w:sz w:val="24"/>
        </w:rPr>
      </w:pPr>
      <w:r>
        <w:rPr>
          <w:sz w:val="24"/>
        </w:rPr>
        <w:t>Este curso está diseñado para brindar información y desarrollar destrezas en el uso de drogas en la práctica clínica, seleccionando las usadas más frecuentemente, con énfasis en los principios generales de la farmacología.  Se consideran, desde el punto de vista práctico, el metabolismo, las interacciones y los efectos adversos de las drogas, enfatizando la diferencia entre el empleo empírico, el fisiopatológico y la evidencia clínica con respecto al uso de los fármacos.</w:t>
      </w:r>
    </w:p>
    <w:p>
      <w:pPr>
        <w:pStyle w:val="BodyTextIndent3"/>
        <w:rPr>
          <w:lang w:val="es-CR"/>
        </w:rPr>
      </w:pPr>
      <w:r>
        <w:rPr>
          <w:lang w:val="es-CR"/>
        </w:rPr>
      </w:r>
    </w:p>
    <w:p>
      <w:pPr>
        <w:pStyle w:val="BodyTextIndent3"/>
        <w:jc w:val="both"/>
        <w:rPr>
          <w:sz w:val="24"/>
          <w:szCs w:val="24"/>
          <w:lang w:val="es-CR"/>
        </w:rPr>
      </w:pPr>
      <w:r>
        <w:rPr>
          <w:lang w:val="es-CR"/>
        </w:rPr>
        <w:t xml:space="preserve">     </w:t>
      </w:r>
      <w:r>
        <w:rPr>
          <w:sz w:val="24"/>
          <w:szCs w:val="24"/>
          <w:lang w:val="es-CR"/>
        </w:rPr>
        <w:t>Los estudiantes discuten historias clínicas o casos de pacientes hospitalizados con diversos problemas terapéuticos, para formular la estrategia apropiada para cada paciente.</w:t>
      </w:r>
    </w:p>
    <w:p>
      <w:pPr>
        <w:pStyle w:val="Normal"/>
        <w:jc w:val="both"/>
        <w:rPr>
          <w:lang w:val="es-CR"/>
        </w:rPr>
      </w:pPr>
      <w:r>
        <w:rPr>
          <w:lang w:val="es-CR"/>
        </w:rPr>
      </w:r>
    </w:p>
    <w:p>
      <w:pPr>
        <w:pStyle w:val="Normal"/>
        <w:jc w:val="both"/>
        <w:rPr>
          <w:b/>
          <w:b/>
          <w:bCs/>
        </w:rPr>
      </w:pPr>
      <w:r>
        <w:rPr>
          <w:b/>
          <w:bCs/>
        </w:rPr>
        <w:t>II   OBJETIVOS GENERALES:</w:t>
      </w:r>
    </w:p>
    <w:p>
      <w:pPr>
        <w:pStyle w:val="Normal"/>
        <w:jc w:val="both"/>
        <w:rPr/>
      </w:pPr>
      <w:r>
        <w:rPr/>
      </w:r>
    </w:p>
    <w:p>
      <w:pPr>
        <w:pStyle w:val="Normal"/>
        <w:numPr>
          <w:ilvl w:val="0"/>
          <w:numId w:val="50"/>
        </w:numPr>
        <w:jc w:val="both"/>
        <w:rPr>
          <w:lang w:val="es-CR"/>
        </w:rPr>
      </w:pPr>
      <w:r>
        <w:rPr>
          <w:lang w:val="es-CR"/>
        </w:rPr>
        <w:t>Manejar el tratamiento de aquellas patologías que:</w:t>
      </w:r>
    </w:p>
    <w:p>
      <w:pPr>
        <w:pStyle w:val="Normal"/>
        <w:ind w:left="360" w:hanging="0"/>
        <w:jc w:val="both"/>
        <w:rPr>
          <w:lang w:val="es-CR"/>
        </w:rPr>
      </w:pPr>
      <w:r>
        <w:rPr>
          <w:lang w:val="es-CR"/>
        </w:rPr>
      </w:r>
    </w:p>
    <w:p>
      <w:pPr>
        <w:pStyle w:val="Normal"/>
        <w:numPr>
          <w:ilvl w:val="1"/>
          <w:numId w:val="50"/>
        </w:numPr>
        <w:jc w:val="both"/>
        <w:rPr>
          <w:lang w:val="es-CR"/>
        </w:rPr>
      </w:pPr>
      <w:r>
        <w:rPr>
          <w:lang w:val="es-CR"/>
        </w:rPr>
        <w:t>originan el mayor número de consultas.</w:t>
      </w:r>
    </w:p>
    <w:p>
      <w:pPr>
        <w:pStyle w:val="Normal"/>
        <w:numPr>
          <w:ilvl w:val="1"/>
          <w:numId w:val="50"/>
        </w:numPr>
        <w:jc w:val="both"/>
        <w:rPr>
          <w:lang w:val="es-CR"/>
        </w:rPr>
      </w:pPr>
      <w:r>
        <w:rPr>
          <w:lang w:val="es-CR"/>
        </w:rPr>
        <w:t>son más frecuentes, según nuestras estadísticas de morbimortalidad, basándose siempre en los mecanismos fisiopatológicos de la enfermedad.</w:t>
      </w:r>
    </w:p>
    <w:p>
      <w:pPr>
        <w:pStyle w:val="Normal"/>
        <w:tabs>
          <w:tab w:val="left" w:pos="0" w:leader="none"/>
        </w:tabs>
        <w:jc w:val="both"/>
        <w:rPr>
          <w:lang w:val="es-CR"/>
        </w:rPr>
      </w:pPr>
      <w:r>
        <w:rPr>
          <w:lang w:val="es-CR"/>
        </w:rPr>
      </w:r>
    </w:p>
    <w:p>
      <w:pPr>
        <w:pStyle w:val="Normal"/>
        <w:numPr>
          <w:ilvl w:val="0"/>
          <w:numId w:val="50"/>
        </w:numPr>
        <w:jc w:val="both"/>
        <w:rPr>
          <w:lang w:val="es-CR"/>
        </w:rPr>
      </w:pPr>
      <w:r>
        <w:rPr>
          <w:lang w:val="es-CR"/>
        </w:rPr>
        <w:t>Seleccionar el o los medicamentos más adecuados para el cuadro clínico del paciente, tomando en cuenta:</w:t>
      </w:r>
    </w:p>
    <w:p>
      <w:pPr>
        <w:pStyle w:val="Normal"/>
        <w:ind w:left="360" w:hanging="0"/>
        <w:jc w:val="both"/>
        <w:rPr>
          <w:lang w:val="es-CR"/>
        </w:rPr>
      </w:pPr>
      <w:r>
        <w:rPr>
          <w:lang w:val="es-CR"/>
        </w:rPr>
      </w:r>
    </w:p>
    <w:p>
      <w:pPr>
        <w:pStyle w:val="Normal"/>
        <w:numPr>
          <w:ilvl w:val="1"/>
          <w:numId w:val="50"/>
        </w:numPr>
        <w:jc w:val="both"/>
        <w:rPr>
          <w:lang w:val="es-CR"/>
        </w:rPr>
      </w:pPr>
      <w:r>
        <w:rPr>
          <w:lang w:val="es-CR"/>
        </w:rPr>
        <w:t>el concepto de medicamento esencial.</w:t>
      </w:r>
    </w:p>
    <w:p>
      <w:pPr>
        <w:pStyle w:val="Normal"/>
        <w:numPr>
          <w:ilvl w:val="1"/>
          <w:numId w:val="50"/>
        </w:numPr>
        <w:jc w:val="both"/>
        <w:rPr>
          <w:lang w:val="es-CR"/>
        </w:rPr>
      </w:pPr>
      <w:r>
        <w:rPr>
          <w:lang w:val="es-CR"/>
        </w:rPr>
        <w:t>las características farmacocinéticas del medicamento: vías de administración, solubilidad, absorción, metabolismo, niveles sanguíneos, excreción.</w:t>
      </w:r>
    </w:p>
    <w:p>
      <w:pPr>
        <w:pStyle w:val="Normal"/>
        <w:numPr>
          <w:ilvl w:val="1"/>
          <w:numId w:val="50"/>
        </w:numPr>
        <w:jc w:val="both"/>
        <w:rPr>
          <w:lang w:val="es-CR"/>
        </w:rPr>
      </w:pPr>
      <w:r>
        <w:rPr>
          <w:lang w:val="es-CR"/>
        </w:rPr>
        <w:t>Interacciones, efectos secundarios, reacciones adversas, patologías limitantes tales como embarazo, lactancia, nefropatía, hepatopatías, etc.</w:t>
      </w:r>
    </w:p>
    <w:p>
      <w:pPr>
        <w:pStyle w:val="Normal"/>
        <w:numPr>
          <w:ilvl w:val="1"/>
          <w:numId w:val="50"/>
        </w:numPr>
        <w:jc w:val="both"/>
        <w:rPr>
          <w:lang w:val="es-CR"/>
        </w:rPr>
      </w:pPr>
      <w:r>
        <w:rPr>
          <w:lang w:val="es-CR"/>
        </w:rPr>
        <w:t>dosis del adulto, presentación, nombre común y comercial.  Uso en pediatría y geriatría.</w:t>
      </w:r>
    </w:p>
    <w:p>
      <w:pPr>
        <w:pStyle w:val="Normal"/>
        <w:numPr>
          <w:ilvl w:val="1"/>
          <w:numId w:val="50"/>
        </w:numPr>
        <w:jc w:val="both"/>
        <w:rPr>
          <w:lang w:val="es-CR"/>
        </w:rPr>
      </w:pPr>
      <w:r>
        <w:rPr>
          <w:lang w:val="es-CR"/>
        </w:rPr>
        <w:t>su disponibilidad y posibilidad de sustitución, basándose en el Cuadro Básico de Medicamentos de la C.C.S.S. y la Guía Terapéutica Nacional.</w:t>
      </w:r>
    </w:p>
    <w:p>
      <w:pPr>
        <w:pStyle w:val="Normal"/>
        <w:jc w:val="both"/>
        <w:rPr>
          <w:lang w:val="es-CR"/>
        </w:rPr>
      </w:pPr>
      <w:r>
        <w:rPr>
          <w:lang w:val="es-CR"/>
        </w:rPr>
      </w:r>
    </w:p>
    <w:p>
      <w:pPr>
        <w:pStyle w:val="Normal"/>
        <w:jc w:val="both"/>
        <w:rPr>
          <w:lang w:val="es-CR"/>
        </w:rPr>
      </w:pPr>
      <w:r>
        <w:rPr>
          <w:lang w:val="es-CR"/>
        </w:rPr>
      </w:r>
    </w:p>
    <w:p>
      <w:pPr>
        <w:pStyle w:val="Normal"/>
        <w:jc w:val="both"/>
        <w:rPr>
          <w:b/>
          <w:b/>
          <w:bCs/>
        </w:rPr>
      </w:pPr>
      <w:r>
        <w:rPr>
          <w:b/>
          <w:bCs/>
        </w:rPr>
        <w:t>III  NORMAS DEL CURSO:</w:t>
      </w:r>
    </w:p>
    <w:p>
      <w:pPr>
        <w:pStyle w:val="Normal"/>
        <w:jc w:val="both"/>
        <w:rPr/>
      </w:pPr>
      <w:r>
        <w:rPr/>
      </w:r>
    </w:p>
    <w:p>
      <w:pPr>
        <w:pStyle w:val="Normal"/>
        <w:numPr>
          <w:ilvl w:val="0"/>
          <w:numId w:val="51"/>
        </w:numPr>
        <w:jc w:val="both"/>
        <w:rPr/>
      </w:pPr>
      <w:r>
        <w:rPr/>
        <w:t>CLASE TÉORICA (T):</w:t>
      </w:r>
    </w:p>
    <w:p>
      <w:pPr>
        <w:pStyle w:val="BodyTextIndent2"/>
        <w:rPr/>
      </w:pPr>
      <w:r>
        <w:rPr>
          <w:lang w:val="es-CR"/>
        </w:rPr>
        <w:t xml:space="preserve">El profesor asignado expondrá los aspectos téoricos más importantes y aquellos no discutidos previamente.  </w:t>
      </w:r>
      <w:r>
        <w:rPr/>
        <w:t>Para completar el tema, se asignarán referencias bibliográficas actualizadas.</w:t>
      </w:r>
    </w:p>
    <w:p>
      <w:pPr>
        <w:pStyle w:val="Normal"/>
        <w:ind w:left="708" w:hanging="0"/>
        <w:jc w:val="both"/>
        <w:rPr/>
      </w:pPr>
      <w:r>
        <w:rPr/>
      </w:r>
    </w:p>
    <w:p>
      <w:pPr>
        <w:pStyle w:val="Normal"/>
        <w:numPr>
          <w:ilvl w:val="0"/>
          <w:numId w:val="51"/>
        </w:numPr>
        <w:tabs>
          <w:tab w:val="left" w:pos="4440" w:leader="none"/>
        </w:tabs>
        <w:jc w:val="both"/>
        <w:rPr>
          <w:lang w:val="es-CR"/>
        </w:rPr>
      </w:pPr>
      <w:r>
        <w:rPr>
          <w:lang w:val="es-CR"/>
        </w:rPr>
        <w:t xml:space="preserve">SEMINARIO (S) Y CASOS CLÍNICOS:  </w:t>
      </w:r>
    </w:p>
    <w:p>
      <w:pPr>
        <w:pStyle w:val="Normal"/>
        <w:tabs>
          <w:tab w:val="left" w:pos="720" w:leader="none"/>
          <w:tab w:val="left" w:pos="4440" w:leader="none"/>
        </w:tabs>
        <w:ind w:left="720" w:hanging="0"/>
        <w:jc w:val="both"/>
        <w:rPr>
          <w:lang w:val="es-CR"/>
        </w:rPr>
      </w:pPr>
      <w:r>
        <w:rPr>
          <w:u w:val="single"/>
          <w:lang w:val="es-CR"/>
        </w:rPr>
        <w:t>Objetivo general</w:t>
      </w:r>
      <w:r>
        <w:rPr>
          <w:lang w:val="es-CR"/>
        </w:rPr>
        <w:t>:</w:t>
      </w:r>
      <w:r>
        <w:rPr>
          <w:b/>
          <w:bCs/>
          <w:lang w:val="es-CR"/>
        </w:rPr>
        <w:t xml:space="preserve">  </w:t>
      </w:r>
      <w:r>
        <w:rPr>
          <w:lang w:val="es-CR"/>
        </w:rPr>
        <w:t>la participación de los alumnos en los seminarios y casos clínicos pretende exponer al estudiante a una actividad académica, la cual le permita aplicar su criterio en cuanto a cantidad y calidad de la información relevante y la forma adecuada de presentación ante un público.</w:t>
      </w:r>
    </w:p>
    <w:p>
      <w:pPr>
        <w:pStyle w:val="Normal"/>
        <w:ind w:left="708" w:hanging="0"/>
        <w:jc w:val="both"/>
        <w:rPr>
          <w:lang w:val="es-CR"/>
        </w:rPr>
      </w:pPr>
      <w:r>
        <w:rPr>
          <w:lang w:val="es-CR"/>
        </w:rPr>
      </w:r>
    </w:p>
    <w:p>
      <w:pPr>
        <w:pStyle w:val="Normal"/>
        <w:tabs>
          <w:tab w:val="left" w:pos="4320" w:leader="none"/>
        </w:tabs>
        <w:ind w:left="708" w:hanging="0"/>
        <w:jc w:val="both"/>
        <w:rPr>
          <w:lang w:val="es-CR"/>
        </w:rPr>
      </w:pPr>
      <w:r>
        <w:rPr>
          <w:u w:val="single"/>
          <w:lang w:val="es-CR"/>
        </w:rPr>
        <w:t>Asesoría del profesor</w:t>
      </w:r>
      <w:r>
        <w:rPr>
          <w:lang w:val="es-CR"/>
        </w:rPr>
        <w:t>:</w:t>
      </w:r>
      <w:r>
        <w:rPr>
          <w:b/>
          <w:bCs/>
          <w:lang w:val="es-CR"/>
        </w:rPr>
        <w:t xml:space="preserve">  </w:t>
      </w:r>
      <w:r>
        <w:rPr>
          <w:lang w:val="es-CR"/>
        </w:rPr>
        <w:t>los alumnos responsables del seminario podrán acudir al profesor indicado con el fin de especificar los detalles del contenido.</w:t>
      </w:r>
    </w:p>
    <w:p>
      <w:pPr>
        <w:pStyle w:val="Normal"/>
        <w:ind w:left="708" w:hanging="0"/>
        <w:jc w:val="both"/>
        <w:rPr>
          <w:lang w:val="es-CR"/>
        </w:rPr>
      </w:pPr>
      <w:r>
        <w:rPr>
          <w:lang w:val="es-CR"/>
        </w:rPr>
      </w:r>
    </w:p>
    <w:p>
      <w:pPr>
        <w:pStyle w:val="Normal"/>
        <w:tabs>
          <w:tab w:val="left" w:pos="3840" w:leader="none"/>
        </w:tabs>
        <w:ind w:left="708" w:hanging="0"/>
        <w:jc w:val="both"/>
        <w:rPr>
          <w:lang w:val="es-CR"/>
        </w:rPr>
      </w:pPr>
      <w:r>
        <w:rPr>
          <w:u w:val="single"/>
          <w:lang w:val="es-CR"/>
        </w:rPr>
        <w:t>Evaluación</w:t>
      </w:r>
      <w:r>
        <w:rPr>
          <w:lang w:val="es-CR"/>
        </w:rPr>
        <w:t>:</w:t>
      </w:r>
      <w:r>
        <w:rPr>
          <w:b/>
          <w:bCs/>
          <w:lang w:val="es-CR"/>
        </w:rPr>
        <w:t xml:space="preserve">  </w:t>
      </w:r>
      <w:r>
        <w:rPr>
          <w:lang w:val="es-CR"/>
        </w:rPr>
        <w:t>cada seminario será calificado por los profesores presentes, por separado.  La nota tomará en cuenta el contenido, la presentación, el cumplimiento, la bibliografía y el resumen escrito.  Se espera que cada exposición muestre mucho esfuerzo, se conozca el tema y sea presentado en forma óptima.  Las presentaciones leídas, así como las transparencias improvisadas y la falta de dominio, afectarán la calificación.</w:t>
      </w:r>
    </w:p>
    <w:p>
      <w:pPr>
        <w:pStyle w:val="Normal"/>
        <w:ind w:left="708" w:hanging="0"/>
        <w:jc w:val="both"/>
        <w:rPr>
          <w:lang w:val="es-CR"/>
        </w:rPr>
      </w:pPr>
      <w:r>
        <w:rPr>
          <w:lang w:val="es-CR"/>
        </w:rPr>
      </w:r>
    </w:p>
    <w:p>
      <w:pPr>
        <w:pStyle w:val="Normal"/>
        <w:tabs>
          <w:tab w:val="left" w:pos="3720" w:leader="none"/>
          <w:tab w:val="left" w:pos="4680" w:leader="none"/>
        </w:tabs>
        <w:ind w:left="708" w:hanging="0"/>
        <w:jc w:val="both"/>
        <w:rPr>
          <w:lang w:val="es-CR"/>
        </w:rPr>
      </w:pPr>
      <w:r>
        <w:rPr>
          <w:u w:val="single"/>
          <w:lang w:val="es-CR"/>
        </w:rPr>
        <w:t>Resumen</w:t>
      </w:r>
      <w:r>
        <w:rPr>
          <w:lang w:val="es-CR"/>
        </w:rPr>
        <w:t>:</w:t>
      </w:r>
      <w:r>
        <w:rPr>
          <w:b/>
          <w:bCs/>
          <w:lang w:val="es-CR"/>
        </w:rPr>
        <w:t xml:space="preserve">  </w:t>
      </w:r>
      <w:r>
        <w:rPr>
          <w:lang w:val="es-CR"/>
        </w:rPr>
        <w:t>cada grupo deberá presentar un resumen del trabajo del seminario a cada estudiante y a cada profesor, a más tardar el día de la presentación.  La omisión de esta entrega o su presentación tardía restará valor a la nota del seminario.</w:t>
      </w:r>
    </w:p>
    <w:p>
      <w:pPr>
        <w:pStyle w:val="Normal"/>
        <w:ind w:left="708" w:hanging="0"/>
        <w:jc w:val="both"/>
        <w:rPr>
          <w:lang w:val="es-CR"/>
        </w:rPr>
      </w:pPr>
      <w:r>
        <w:rPr>
          <w:lang w:val="es-CR"/>
        </w:rPr>
      </w:r>
    </w:p>
    <w:p>
      <w:pPr>
        <w:pStyle w:val="Normal"/>
        <w:numPr>
          <w:ilvl w:val="0"/>
          <w:numId w:val="51"/>
        </w:numPr>
        <w:jc w:val="both"/>
        <w:rPr>
          <w:lang w:val="es-CR"/>
        </w:rPr>
      </w:pPr>
      <w:r>
        <w:rPr>
          <w:lang w:val="es-CR"/>
        </w:rPr>
        <w:t>Antes de cada clase o tema, el estudiante debe haber repasado la materia respectiva que se ofreció en el curso de Farmacología Básica (ME-0306 y ME-0310) y queda a criterio del profesor evaluarla con una prueba corta sin previo aviso.  Además, se realizarán pruebas cortas en cualquier momento de la discusión en los casos clínicos o sobre temas asignados. En caso de realizarse pruebas cortas, constituirán un porcentaje de las preguntas del profesor en el examen parcial.</w:t>
      </w:r>
    </w:p>
    <w:p>
      <w:pPr>
        <w:pStyle w:val="Normal"/>
        <w:ind w:left="360" w:hanging="0"/>
        <w:jc w:val="both"/>
        <w:rPr>
          <w:lang w:val="es-CR"/>
        </w:rPr>
      </w:pPr>
      <w:r>
        <w:rPr>
          <w:lang w:val="es-CR"/>
        </w:rPr>
      </w:r>
    </w:p>
    <w:p>
      <w:pPr>
        <w:pStyle w:val="Normal"/>
        <w:numPr>
          <w:ilvl w:val="0"/>
          <w:numId w:val="51"/>
        </w:numPr>
        <w:jc w:val="both"/>
        <w:rPr>
          <w:lang w:val="es-CR"/>
        </w:rPr>
      </w:pPr>
      <w:r>
        <w:rPr>
          <w:lang w:val="es-CR"/>
        </w:rPr>
        <w:t>Se eximirá del examen final a aquellos estudiantes que obtengan un aprovechamiento (promedio de exámenes parciales, casos y seminarios) igual o superior a 9,0 (nueve).</w:t>
      </w:r>
    </w:p>
    <w:p>
      <w:pPr>
        <w:pStyle w:val="Normal"/>
        <w:ind w:left="360" w:hanging="0"/>
        <w:jc w:val="both"/>
        <w:rPr>
          <w:lang w:val="es-CR"/>
        </w:rPr>
      </w:pPr>
      <w:r>
        <w:rPr>
          <w:lang w:val="es-CR"/>
        </w:rPr>
      </w:r>
    </w:p>
    <w:p>
      <w:pPr>
        <w:pStyle w:val="Normal"/>
        <w:numPr>
          <w:ilvl w:val="0"/>
          <w:numId w:val="49"/>
        </w:numPr>
        <w:jc w:val="both"/>
        <w:rPr>
          <w:lang w:val="es-CR"/>
        </w:rPr>
      </w:pPr>
      <w:r>
        <w:rPr>
          <w:lang w:val="es-CR"/>
        </w:rPr>
        <w:t>Durante los exámenes, se atenderán únicamente consultas de forma, es decir, relativas a la redacción de las preguntas.  Estas consultas deben formularse durante los primeros veinte minutos del examen y las respectivas aclaraciones se darán para todo el grupo; en ningún caso se atenderán consultas individuales.</w:t>
      </w:r>
    </w:p>
    <w:p>
      <w:pPr>
        <w:pStyle w:val="Normal"/>
        <w:jc w:val="both"/>
        <w:rPr>
          <w:lang w:val="es-CR"/>
        </w:rPr>
      </w:pPr>
      <w:r>
        <w:rPr>
          <w:lang w:val="es-CR"/>
        </w:rPr>
      </w:r>
    </w:p>
    <w:p>
      <w:pPr>
        <w:pStyle w:val="Normal"/>
        <w:numPr>
          <w:ilvl w:val="0"/>
          <w:numId w:val="49"/>
        </w:numPr>
        <w:jc w:val="both"/>
        <w:rPr>
          <w:lang w:val="es-CR"/>
        </w:rPr>
      </w:pPr>
      <w:r>
        <w:rPr>
          <w:lang w:val="es-CR"/>
        </w:rPr>
        <w:t>Cualquier reclamo sobre un examen deberá hacerse en los tres días hábiles posteriores a la fecha de entrega en el Departamento de Farmacología en la Escuela de Medicina.</w:t>
      </w:r>
    </w:p>
    <w:p>
      <w:pPr>
        <w:pStyle w:val="Normal"/>
        <w:jc w:val="both"/>
        <w:rPr>
          <w:lang w:val="es-CR"/>
        </w:rPr>
      </w:pPr>
      <w:r>
        <w:rPr>
          <w:lang w:val="es-CR"/>
        </w:rPr>
      </w:r>
    </w:p>
    <w:p>
      <w:pPr>
        <w:pStyle w:val="Normal"/>
        <w:numPr>
          <w:ilvl w:val="0"/>
          <w:numId w:val="49"/>
        </w:numPr>
        <w:jc w:val="both"/>
        <w:rPr>
          <w:lang w:val="es-CR"/>
        </w:rPr>
      </w:pPr>
      <w:r>
        <w:rPr>
          <w:lang w:val="es-CR"/>
        </w:rPr>
        <w:t>La escala de calificación será de 0 a 10, y la nota mínima de aprobación un 7,0.</w:t>
      </w:r>
    </w:p>
    <w:p>
      <w:pPr>
        <w:pStyle w:val="Normal"/>
        <w:jc w:val="both"/>
        <w:rPr>
          <w:lang w:val="es-CR"/>
        </w:rPr>
      </w:pPr>
      <w:r>
        <w:rPr>
          <w:lang w:val="es-CR"/>
        </w:rPr>
      </w:r>
    </w:p>
    <w:p>
      <w:pPr>
        <w:pStyle w:val="Normal"/>
        <w:numPr>
          <w:ilvl w:val="0"/>
          <w:numId w:val="49"/>
        </w:numPr>
        <w:jc w:val="both"/>
        <w:rPr>
          <w:lang w:val="es-CR"/>
        </w:rPr>
      </w:pPr>
      <w:r>
        <w:rPr>
          <w:lang w:val="es-CR"/>
        </w:rPr>
        <w:t>Se realizarán dos exámenes parciales, cuyas fechas serán intransferibles.  Estos comprenderán las clases teóricas, los seminarios y el material teórico asignado.</w:t>
      </w:r>
    </w:p>
    <w:p>
      <w:pPr>
        <w:pStyle w:val="Normal"/>
        <w:jc w:val="both"/>
        <w:rPr>
          <w:lang w:val="es-CR"/>
        </w:rPr>
      </w:pPr>
      <w:r>
        <w:rPr>
          <w:lang w:val="es-CR"/>
        </w:rPr>
      </w:r>
    </w:p>
    <w:p>
      <w:pPr>
        <w:pStyle w:val="Normal"/>
        <w:numPr>
          <w:ilvl w:val="0"/>
          <w:numId w:val="49"/>
        </w:numPr>
        <w:jc w:val="both"/>
        <w:rPr>
          <w:lang w:val="es-CR"/>
        </w:rPr>
      </w:pPr>
      <w:r>
        <w:rPr>
          <w:lang w:val="es-CR"/>
        </w:rPr>
        <w:t xml:space="preserve"> </w:t>
      </w:r>
      <w:r>
        <w:rPr>
          <w:lang w:val="es-CR"/>
        </w:rPr>
        <w:t>El examen final abarcará toda la materia del curso.</w:t>
      </w:r>
    </w:p>
    <w:p>
      <w:pPr>
        <w:pStyle w:val="Normal"/>
        <w:ind w:firstLine="708"/>
        <w:jc w:val="both"/>
        <w:rPr>
          <w:lang w:val="es-CR"/>
        </w:rPr>
      </w:pPr>
      <w:r>
        <w:rPr>
          <w:lang w:val="es-CR"/>
        </w:rPr>
        <w:t xml:space="preserve"> </w:t>
      </w:r>
    </w:p>
    <w:p>
      <w:pPr>
        <w:pStyle w:val="Normal"/>
        <w:numPr>
          <w:ilvl w:val="0"/>
          <w:numId w:val="49"/>
        </w:numPr>
        <w:jc w:val="both"/>
        <w:rPr>
          <w:lang w:val="es-CR"/>
        </w:rPr>
      </w:pPr>
      <w:r>
        <w:rPr>
          <w:lang w:val="es-CR"/>
        </w:rPr>
        <w:t xml:space="preserve"> </w:t>
      </w:r>
      <w:r>
        <w:rPr>
          <w:lang w:val="es-CR"/>
        </w:rPr>
        <w:t>La ausencia a un examen deberá ser justificada, por escrito, ante el</w:t>
      </w:r>
    </w:p>
    <w:p>
      <w:pPr>
        <w:pStyle w:val="Normal"/>
        <w:ind w:left="708" w:firstLine="60"/>
        <w:jc w:val="both"/>
        <w:rPr>
          <w:lang w:val="es-CR"/>
        </w:rPr>
      </w:pPr>
      <w:r>
        <w:rPr>
          <w:lang w:val="es-CR"/>
        </w:rPr>
        <w:t>coordinador</w:t>
      </w:r>
      <w:r>
        <w:rPr>
          <w:b/>
          <w:bCs/>
          <w:lang w:val="es-CR"/>
        </w:rPr>
        <w:t xml:space="preserve"> </w:t>
      </w:r>
      <w:r>
        <w:rPr>
          <w:lang w:val="es-CR"/>
        </w:rPr>
        <w:t>del curso, aportando la documentación pertinente, en el plazo</w:t>
      </w:r>
    </w:p>
    <w:p>
      <w:pPr>
        <w:pStyle w:val="Normal"/>
        <w:ind w:left="708" w:firstLine="60"/>
        <w:jc w:val="both"/>
        <w:rPr>
          <w:lang w:val="es-CR"/>
        </w:rPr>
      </w:pPr>
      <w:r>
        <w:rPr>
          <w:lang w:val="es-CR"/>
        </w:rPr>
        <w:t>indicado en el artículo 24 del Reglamento de Régimen Académico Estudiantil (9</w:t>
      </w:r>
    </w:p>
    <w:p>
      <w:pPr>
        <w:pStyle w:val="Normal"/>
        <w:ind w:left="708" w:firstLine="60"/>
        <w:jc w:val="both"/>
        <w:rPr/>
      </w:pPr>
      <w:r>
        <w:rPr/>
        <w:t>de mayo del 2001).</w:t>
      </w:r>
    </w:p>
    <w:p>
      <w:pPr>
        <w:pStyle w:val="Normal"/>
        <w:jc w:val="both"/>
        <w:rPr/>
      </w:pPr>
      <w:r>
        <w:rPr/>
      </w:r>
    </w:p>
    <w:p>
      <w:pPr>
        <w:pStyle w:val="Normal"/>
        <w:numPr>
          <w:ilvl w:val="0"/>
          <w:numId w:val="49"/>
        </w:numPr>
        <w:jc w:val="both"/>
        <w:rPr>
          <w:lang w:val="es-CR"/>
        </w:rPr>
      </w:pPr>
      <w:r>
        <w:rPr>
          <w:lang w:val="es-CR"/>
        </w:rPr>
        <w:t xml:space="preserve"> </w:t>
      </w:r>
      <w:r>
        <w:rPr>
          <w:lang w:val="es-CR"/>
        </w:rPr>
        <w:t xml:space="preserve">Los estudiantes que obtengan una calificación final de 6,0 a 6,74 tendrán    </w:t>
      </w:r>
    </w:p>
    <w:p>
      <w:pPr>
        <w:pStyle w:val="Normal"/>
        <w:ind w:firstLine="360"/>
        <w:jc w:val="both"/>
        <w:rPr>
          <w:lang w:val="es-CR"/>
        </w:rPr>
      </w:pPr>
      <w:r>
        <w:rPr>
          <w:lang w:val="es-CR"/>
        </w:rPr>
        <w:t xml:space="preserve"> </w:t>
      </w:r>
      <w:r>
        <w:rPr>
          <w:lang w:val="es-CR"/>
        </w:rPr>
        <w:tab/>
        <w:t xml:space="preserve"> derecho de presentar un examen de ampliación, por una sola vez, en las</w:t>
      </w:r>
    </w:p>
    <w:p>
      <w:pPr>
        <w:pStyle w:val="Normal"/>
        <w:ind w:firstLine="708"/>
        <w:jc w:val="both"/>
        <w:rPr>
          <w:lang w:val="es-CR"/>
        </w:rPr>
      </w:pPr>
      <w:r>
        <w:rPr>
          <w:lang w:val="es-CR"/>
        </w:rPr>
        <w:t xml:space="preserve"> </w:t>
      </w:r>
      <w:r>
        <w:rPr>
          <w:lang w:val="es-CR"/>
        </w:rPr>
        <w:t>condiciones establecidas en el Régimen Académico Estudiantil.</w:t>
      </w:r>
    </w:p>
    <w:p>
      <w:pPr>
        <w:pStyle w:val="Normal"/>
        <w:jc w:val="both"/>
        <w:rPr>
          <w:lang w:val="es-CR"/>
        </w:rPr>
      </w:pPr>
      <w:r>
        <w:rPr>
          <w:lang w:val="es-CR"/>
        </w:rPr>
      </w:r>
    </w:p>
    <w:p>
      <w:pPr>
        <w:pStyle w:val="Normal"/>
        <w:numPr>
          <w:ilvl w:val="0"/>
          <w:numId w:val="49"/>
        </w:numPr>
        <w:jc w:val="both"/>
        <w:rPr>
          <w:lang w:val="es-CR"/>
        </w:rPr>
      </w:pPr>
      <w:r>
        <w:rPr>
          <w:lang w:val="es-CR"/>
        </w:rPr>
        <w:t xml:space="preserve"> </w:t>
      </w:r>
      <w:r>
        <w:rPr>
          <w:lang w:val="es-CR"/>
        </w:rPr>
        <w:t xml:space="preserve">El uso de celulares, beepers, “aparatos PDA o palms”, o cualquier otro dispositivo que se emplee para almacenar datos durante un examen está  </w:t>
      </w:r>
    </w:p>
    <w:p>
      <w:pPr>
        <w:pStyle w:val="Normal"/>
        <w:ind w:firstLine="708"/>
        <w:jc w:val="both"/>
        <w:rPr>
          <w:lang w:val="es-CR"/>
        </w:rPr>
      </w:pPr>
      <w:r>
        <w:rPr>
          <w:lang w:val="es-CR"/>
        </w:rPr>
        <w:t xml:space="preserve"> </w:t>
      </w:r>
      <w:r>
        <w:rPr>
          <w:lang w:val="es-CR"/>
        </w:rPr>
        <w:t xml:space="preserve">prohibido, su utilización se tomará como falta grave y procederá a retirar y  </w:t>
      </w:r>
    </w:p>
    <w:p>
      <w:pPr>
        <w:pStyle w:val="Normal"/>
        <w:ind w:firstLine="708"/>
        <w:jc w:val="both"/>
        <w:rPr>
          <w:lang w:val="es-CR"/>
        </w:rPr>
      </w:pPr>
      <w:r>
        <w:rPr>
          <w:lang w:val="es-CR"/>
        </w:rPr>
        <w:t xml:space="preserve"> </w:t>
      </w:r>
      <w:r>
        <w:rPr>
          <w:lang w:val="es-CR"/>
        </w:rPr>
        <w:t>calificar la prueba respectiva con cero.</w:t>
      </w:r>
    </w:p>
    <w:p>
      <w:pPr>
        <w:pStyle w:val="Normal"/>
        <w:jc w:val="both"/>
        <w:rPr>
          <w:lang w:val="es-CR"/>
        </w:rPr>
      </w:pPr>
      <w:r>
        <w:rPr>
          <w:lang w:val="es-CR"/>
        </w:rPr>
      </w:r>
    </w:p>
    <w:p>
      <w:pPr>
        <w:pStyle w:val="Normal"/>
        <w:numPr>
          <w:ilvl w:val="0"/>
          <w:numId w:val="49"/>
        </w:numPr>
        <w:jc w:val="both"/>
        <w:rPr>
          <w:lang w:val="es-CR"/>
        </w:rPr>
      </w:pPr>
      <w:r>
        <w:rPr>
          <w:lang w:val="es-CR"/>
        </w:rPr>
        <w:t xml:space="preserve"> </w:t>
      </w:r>
      <w:r>
        <w:rPr>
          <w:lang w:val="es-CR"/>
        </w:rPr>
        <w:t>La asistencia a clases es obligatoria.  Con la ausencia injustificada al 10% de</w:t>
      </w:r>
    </w:p>
    <w:p>
      <w:pPr>
        <w:pStyle w:val="Normal"/>
        <w:ind w:left="360" w:firstLine="348"/>
        <w:jc w:val="both"/>
        <w:rPr>
          <w:lang w:val="es-CR"/>
        </w:rPr>
      </w:pPr>
      <w:r>
        <w:rPr>
          <w:lang w:val="es-CR"/>
        </w:rPr>
        <w:t xml:space="preserve"> </w:t>
      </w:r>
      <w:r>
        <w:rPr>
          <w:lang w:val="es-CR"/>
        </w:rPr>
        <w:t>las clases se pierde el curso.</w:t>
      </w:r>
    </w:p>
    <w:p>
      <w:pPr>
        <w:pStyle w:val="Cuerpodetextoconsangra"/>
        <w:ind w:left="360" w:hanging="0"/>
        <w:rPr>
          <w:lang w:val="es-CR"/>
        </w:rPr>
      </w:pPr>
      <w:r>
        <w:rPr>
          <w:lang w:val="es-CR"/>
        </w:rPr>
      </w:r>
    </w:p>
    <w:p>
      <w:pPr>
        <w:pStyle w:val="Normal"/>
        <w:ind w:left="360" w:hanging="0"/>
        <w:jc w:val="both"/>
        <w:rPr>
          <w:lang w:val="es-CR"/>
        </w:rPr>
      </w:pPr>
      <w:r>
        <w:rPr>
          <w:b/>
          <w:bCs/>
          <w:lang w:val="es-CR"/>
        </w:rPr>
        <w:t>IV  EVALUACIÓN</w:t>
      </w:r>
      <w:r>
        <w:rPr>
          <w:lang w:val="es-CR"/>
        </w:rPr>
        <w:t>:</w:t>
      </w:r>
    </w:p>
    <w:p>
      <w:pPr>
        <w:pStyle w:val="Normal"/>
        <w:ind w:left="360" w:hanging="0"/>
        <w:jc w:val="both"/>
        <w:rPr>
          <w:lang w:val="es-CR"/>
        </w:rPr>
      </w:pPr>
      <w:r>
        <w:rPr>
          <w:lang w:val="es-CR"/>
        </w:rPr>
      </w:r>
    </w:p>
    <w:p>
      <w:pPr>
        <w:pStyle w:val="Normal"/>
        <w:ind w:left="360" w:hanging="0"/>
        <w:jc w:val="both"/>
        <w:rPr>
          <w:lang w:val="es-CR"/>
        </w:rPr>
      </w:pPr>
      <w:r>
        <w:rPr>
          <w:lang w:val="es-CR"/>
        </w:rPr>
        <w:t>La nota final del curso estará constituida por la suma de:</w:t>
      </w:r>
    </w:p>
    <w:p>
      <w:pPr>
        <w:pStyle w:val="Normal"/>
        <w:jc w:val="both"/>
        <w:rPr>
          <w:lang w:val="es-CR"/>
        </w:rPr>
      </w:pPr>
      <w:r>
        <w:rPr>
          <w:lang w:val="es-CR"/>
        </w:rPr>
      </w:r>
    </w:p>
    <w:p>
      <w:pPr>
        <w:pStyle w:val="Normal"/>
        <w:numPr>
          <w:ilvl w:val="1"/>
          <w:numId w:val="48"/>
        </w:numPr>
        <w:jc w:val="both"/>
        <w:rPr>
          <w:lang w:val="es-CR"/>
        </w:rPr>
      </w:pPr>
      <w:r>
        <w:rPr>
          <w:lang w:val="es-CR"/>
        </w:rPr>
        <w:t xml:space="preserve">exámenes parciales (2) </w:t>
        <w:tab/>
        <w:t>......................................</w:t>
        <w:tab/>
        <w:t xml:space="preserve"> 24% c/u </w:t>
      </w:r>
    </w:p>
    <w:p>
      <w:pPr>
        <w:pStyle w:val="Normal"/>
        <w:numPr>
          <w:ilvl w:val="1"/>
          <w:numId w:val="48"/>
        </w:numPr>
        <w:jc w:val="both"/>
        <w:rPr>
          <w:lang w:val="es-CR"/>
        </w:rPr>
      </w:pPr>
      <w:r>
        <w:rPr>
          <w:lang w:val="es-CR"/>
        </w:rPr>
        <w:t>seminarios y casos clínicos................................</w:t>
        <w:tab/>
        <w:t xml:space="preserve">  6%</w:t>
      </w:r>
    </w:p>
    <w:p>
      <w:pPr>
        <w:pStyle w:val="Normal"/>
        <w:numPr>
          <w:ilvl w:val="1"/>
          <w:numId w:val="48"/>
        </w:numPr>
        <w:jc w:val="both"/>
        <w:rPr>
          <w:lang w:val="es-CR"/>
        </w:rPr>
      </w:pPr>
      <w:r>
        <w:rPr>
          <w:lang w:val="es-CR"/>
        </w:rPr>
        <w:t xml:space="preserve">debate …………………………………………………………  </w:t>
        <w:tab/>
        <w:t>6%</w:t>
      </w:r>
    </w:p>
    <w:p>
      <w:pPr>
        <w:pStyle w:val="Normal"/>
        <w:numPr>
          <w:ilvl w:val="1"/>
          <w:numId w:val="48"/>
        </w:numPr>
        <w:jc w:val="both"/>
        <w:rPr>
          <w:lang w:val="es-CR"/>
        </w:rPr>
      </w:pPr>
      <w:r>
        <w:rPr>
          <w:lang w:val="es-CR"/>
        </w:rPr>
        <w:t>examen final ....................................................... 40%</w:t>
      </w:r>
    </w:p>
    <w:p>
      <w:pPr>
        <w:pStyle w:val="Normal"/>
        <w:ind w:left="1080" w:hanging="0"/>
        <w:jc w:val="both"/>
        <w:rPr>
          <w:lang w:val="es-CR"/>
        </w:rPr>
      </w:pPr>
      <w:r>
        <w:rPr>
          <w:lang w:val="es-CR"/>
        </w:rPr>
      </w:r>
      <w:r>
        <w:br w:type="page"/>
      </w:r>
    </w:p>
    <w:p>
      <w:pPr>
        <w:pStyle w:val="Normal"/>
        <w:jc w:val="both"/>
        <w:rPr>
          <w:b/>
          <w:b/>
          <w:sz w:val="28"/>
          <w:szCs w:val="28"/>
          <w:lang w:val="es-CR"/>
        </w:rPr>
      </w:pPr>
      <w:r>
        <w:rPr>
          <w:b/>
          <w:sz w:val="28"/>
          <w:szCs w:val="28"/>
          <w:lang w:val="es-CR"/>
        </w:rPr>
        <w:t xml:space="preserve">Guía metodólogica para los debates: </w:t>
      </w:r>
    </w:p>
    <w:p>
      <w:pPr>
        <w:pStyle w:val="Normal"/>
        <w:jc w:val="both"/>
        <w:rPr>
          <w:lang w:val="es-CR"/>
        </w:rPr>
      </w:pPr>
      <w:r>
        <w:rPr>
          <w:lang w:val="es-CR"/>
        </w:rPr>
      </w:r>
    </w:p>
    <w:p>
      <w:pPr>
        <w:pStyle w:val="Normal"/>
        <w:jc w:val="both"/>
        <w:rPr>
          <w:lang w:val="es-CR"/>
        </w:rPr>
      </w:pPr>
      <w:r>
        <w:rPr>
          <w:lang w:val="es-CR"/>
        </w:rPr>
        <w:t>Objetivo:</w:t>
      </w:r>
    </w:p>
    <w:p>
      <w:pPr>
        <w:pStyle w:val="Normal"/>
        <w:jc w:val="both"/>
        <w:rPr>
          <w:lang w:val="es-CR"/>
        </w:rPr>
      </w:pPr>
      <w:r>
        <w:rPr>
          <w:lang w:val="es-CR"/>
        </w:rPr>
        <w:tab/>
        <w:t xml:space="preserve">El objetivo principal de los seminarios es estimular el análisis crítico de la información así como la discusión y participación por parte de los estudiantes. </w:t>
      </w:r>
    </w:p>
    <w:p>
      <w:pPr>
        <w:pStyle w:val="Normal"/>
        <w:jc w:val="both"/>
        <w:rPr>
          <w:lang w:val="es-CR"/>
        </w:rPr>
      </w:pPr>
      <w:r>
        <w:rPr>
          <w:lang w:val="es-CR"/>
        </w:rPr>
        <w:tab/>
        <w:t xml:space="preserve">Difícilmente en medicina se encuentra con una posición única de consenso sobre el tratamiento de las patologías. Los debates pretenden mostrar estas posiciones para que el estudiante saque sus conclusiones y realice un análisis de la información presentada. </w:t>
      </w:r>
    </w:p>
    <w:p>
      <w:pPr>
        <w:pStyle w:val="Normal"/>
        <w:jc w:val="both"/>
        <w:rPr>
          <w:lang w:val="es-CR"/>
        </w:rPr>
      </w:pPr>
      <w:r>
        <w:rPr>
          <w:lang w:val="es-CR"/>
        </w:rPr>
      </w:r>
    </w:p>
    <w:p>
      <w:pPr>
        <w:pStyle w:val="Normal"/>
        <w:jc w:val="both"/>
        <w:rPr>
          <w:lang w:val="es-CR"/>
        </w:rPr>
      </w:pPr>
      <w:r>
        <w:rPr>
          <w:lang w:val="es-CR"/>
        </w:rPr>
        <w:t>Metodología</w:t>
      </w:r>
    </w:p>
    <w:p>
      <w:pPr>
        <w:pStyle w:val="ListParagraph"/>
        <w:numPr>
          <w:ilvl w:val="0"/>
          <w:numId w:val="52"/>
        </w:numPr>
        <w:rPr>
          <w:rFonts w:ascii="Tahoma" w:hAnsi="Tahoma" w:cs="Tahoma"/>
          <w:sz w:val="24"/>
          <w:szCs w:val="24"/>
          <w:lang w:val="es-MX"/>
        </w:rPr>
      </w:pPr>
      <w:r>
        <w:rPr>
          <w:rFonts w:cs="Tahoma" w:ascii="Tahoma" w:hAnsi="Tahoma"/>
          <w:sz w:val="24"/>
          <w:szCs w:val="24"/>
          <w:lang w:val="es-MX"/>
        </w:rPr>
        <w:t>Cada grupo tendrá disponible 10 minutos para exponer su posición</w:t>
      </w:r>
    </w:p>
    <w:p>
      <w:pPr>
        <w:pStyle w:val="ListParagraph"/>
        <w:numPr>
          <w:ilvl w:val="0"/>
          <w:numId w:val="52"/>
        </w:numPr>
        <w:rPr>
          <w:rFonts w:ascii="Tahoma" w:hAnsi="Tahoma" w:cs="Tahoma"/>
          <w:sz w:val="24"/>
          <w:szCs w:val="24"/>
          <w:lang w:val="es-MX"/>
        </w:rPr>
      </w:pPr>
      <w:r>
        <w:rPr>
          <w:rFonts w:cs="Tahoma" w:ascii="Tahoma" w:hAnsi="Tahoma"/>
          <w:sz w:val="24"/>
          <w:szCs w:val="24"/>
          <w:lang w:val="es-MX"/>
        </w:rPr>
        <w:t>Posterior a estos primeros 10 minutos, cada grupo tendrá derecho a una segunda presentación de 5 minutos para rebatir los puntos presentados por el otro grupo en la primera exposición</w:t>
      </w:r>
    </w:p>
    <w:p>
      <w:pPr>
        <w:pStyle w:val="ListParagraph"/>
        <w:numPr>
          <w:ilvl w:val="0"/>
          <w:numId w:val="52"/>
        </w:numPr>
        <w:rPr>
          <w:rFonts w:ascii="Tahoma" w:hAnsi="Tahoma" w:cs="Tahoma"/>
          <w:sz w:val="24"/>
          <w:szCs w:val="24"/>
          <w:lang w:val="es-MX"/>
        </w:rPr>
      </w:pPr>
      <w:r>
        <w:rPr>
          <w:rFonts w:cs="Tahoma" w:ascii="Tahoma" w:hAnsi="Tahoma"/>
          <w:sz w:val="24"/>
          <w:szCs w:val="24"/>
          <w:lang w:val="es-MX"/>
        </w:rPr>
        <w:t>Los compañeros y el profesor tendrán un período de 10 minutos  para preguntas</w:t>
      </w:r>
    </w:p>
    <w:p>
      <w:pPr>
        <w:pStyle w:val="Normal"/>
        <w:rPr>
          <w:rFonts w:cs="Tahoma"/>
          <w:lang w:val="es-MX"/>
        </w:rPr>
      </w:pPr>
      <w:r>
        <w:rPr>
          <w:rFonts w:cs="Tahoma"/>
          <w:lang w:val="es-MX"/>
        </w:rPr>
      </w:r>
    </w:p>
    <w:p>
      <w:pPr>
        <w:pStyle w:val="Normal"/>
        <w:rPr>
          <w:rFonts w:cs="Tahoma"/>
          <w:b/>
          <w:b/>
          <w:sz w:val="28"/>
          <w:szCs w:val="28"/>
          <w:lang w:val="es-MX"/>
        </w:rPr>
      </w:pPr>
      <w:r>
        <w:rPr>
          <w:rFonts w:cs="Tahoma"/>
          <w:b/>
          <w:sz w:val="28"/>
          <w:szCs w:val="28"/>
          <w:lang w:val="es-MX"/>
        </w:rPr>
        <w:t>Guía metodológica para los casos clínicos</w:t>
      </w:r>
    </w:p>
    <w:p>
      <w:pPr>
        <w:pStyle w:val="Normal"/>
        <w:rPr>
          <w:rFonts w:cs="Tahoma"/>
          <w:lang w:val="es-MX"/>
        </w:rPr>
      </w:pPr>
      <w:r>
        <w:rPr>
          <w:rFonts w:cs="Tahoma"/>
          <w:lang w:val="es-MX"/>
        </w:rPr>
      </w:r>
    </w:p>
    <w:p>
      <w:pPr>
        <w:pStyle w:val="Normal"/>
        <w:rPr>
          <w:rFonts w:cs="Tahoma"/>
          <w:lang w:val="es-MX"/>
        </w:rPr>
      </w:pPr>
      <w:r>
        <w:rPr>
          <w:rFonts w:cs="Tahoma"/>
          <w:lang w:val="es-MX"/>
        </w:rPr>
        <w:t>Objetivo:</w:t>
      </w:r>
    </w:p>
    <w:p>
      <w:pPr>
        <w:pStyle w:val="Normal"/>
        <w:rPr>
          <w:rFonts w:cs="Tahoma"/>
          <w:lang w:val="es-MX"/>
        </w:rPr>
      </w:pPr>
      <w:r>
        <w:rPr>
          <w:rFonts w:cs="Tahoma"/>
          <w:lang w:val="es-MX"/>
        </w:rPr>
        <w:tab/>
        <w:t xml:space="preserve">La discusión de casos clínicos va orientada a la aplicación en la práctica de la medicina de la teoría y de los estudios clínicos revisados. Por lo tanto, los estudiantes revisarán la teoría del caso antes de la discusión. </w:t>
      </w:r>
    </w:p>
    <w:p>
      <w:pPr>
        <w:pStyle w:val="Normal"/>
        <w:rPr>
          <w:rFonts w:cs="Tahoma"/>
          <w:lang w:val="es-MX"/>
        </w:rPr>
      </w:pPr>
      <w:r>
        <w:rPr>
          <w:rFonts w:cs="Tahoma"/>
          <w:lang w:val="es-MX"/>
        </w:rPr>
      </w:r>
    </w:p>
    <w:p>
      <w:pPr>
        <w:pStyle w:val="Normal"/>
        <w:rPr>
          <w:rFonts w:cs="Tahoma"/>
          <w:lang w:val="es-MX"/>
        </w:rPr>
      </w:pPr>
      <w:r>
        <w:rPr>
          <w:rFonts w:cs="Tahoma"/>
          <w:lang w:val="es-MX"/>
        </w:rPr>
        <w:t>Metodología</w:t>
      </w:r>
    </w:p>
    <w:p>
      <w:pPr>
        <w:pStyle w:val="Normal"/>
        <w:rPr>
          <w:rFonts w:cs="Tahoma"/>
          <w:lang w:val="es-MX"/>
        </w:rPr>
      </w:pPr>
      <w:r>
        <w:rPr>
          <w:rFonts w:cs="Tahoma"/>
          <w:lang w:val="es-MX"/>
        </w:rPr>
        <w:t>1. Cada grupo revisará la teoría antes del caso clínico y presentará un resumen por escrito a los compañeros y el trabajo completo al profesor</w:t>
      </w:r>
    </w:p>
    <w:p>
      <w:pPr>
        <w:pStyle w:val="Normal"/>
        <w:rPr>
          <w:rFonts w:cs="Tahoma"/>
          <w:lang w:val="es-MX"/>
        </w:rPr>
      </w:pPr>
      <w:r>
        <w:rPr>
          <w:rFonts w:cs="Tahoma"/>
          <w:lang w:val="es-MX"/>
        </w:rPr>
        <w:t>2. El día de la presentación a las 12 mediodía se entregará el caso clínico al grupo para que lo pueda discutir</w:t>
      </w:r>
    </w:p>
    <w:p>
      <w:pPr>
        <w:pStyle w:val="Normal"/>
        <w:rPr>
          <w:rFonts w:cs="Tahoma"/>
          <w:lang w:val="es-MX"/>
        </w:rPr>
      </w:pPr>
      <w:r>
        <w:rPr>
          <w:rFonts w:cs="Tahoma"/>
          <w:lang w:val="es-MX"/>
        </w:rPr>
        <w:t>3. El grupo tendrá 35 minutos para presentar y discutir el caso clínico, seguido luego de 15 minutos de preguntas por parte de los compañeros y del profesor</w:t>
      </w:r>
    </w:p>
    <w:p>
      <w:pPr>
        <w:pStyle w:val="Normal"/>
        <w:jc w:val="both"/>
        <w:rPr>
          <w:lang w:val="es-MX"/>
        </w:rPr>
      </w:pPr>
      <w:r>
        <w:rPr>
          <w:lang w:val="es-MX"/>
        </w:rPr>
      </w:r>
      <w:r>
        <w:br w:type="page"/>
      </w:r>
    </w:p>
    <w:p>
      <w:pPr>
        <w:pStyle w:val="Ttulo"/>
        <w:rPr>
          <w:sz w:val="32"/>
        </w:rPr>
      </w:pPr>
      <w:r>
        <w:rPr>
          <w:sz w:val="32"/>
        </w:rPr>
        <w:t>FARMACOLOGÍA CLÍNICA I</w:t>
      </w:r>
    </w:p>
    <w:p>
      <w:pPr>
        <w:pStyle w:val="Subttulo"/>
        <w:rPr/>
      </w:pPr>
      <w:r>
        <w:rPr/>
        <w:t>CONTENIDOS I SEMESTRE</w:t>
      </w:r>
    </w:p>
    <w:p>
      <w:pPr>
        <w:pStyle w:val="Normal"/>
        <w:jc w:val="center"/>
        <w:rPr>
          <w:b/>
          <w:b/>
          <w:bCs/>
          <w:sz w:val="28"/>
          <w:lang w:val="es-CR"/>
        </w:rPr>
      </w:pPr>
      <w:r>
        <w:rPr>
          <w:b/>
          <w:bCs/>
          <w:sz w:val="28"/>
          <w:lang w:val="es-CR"/>
        </w:rPr>
      </w:r>
    </w:p>
    <w:p>
      <w:pPr>
        <w:pStyle w:val="Normal"/>
        <w:rPr>
          <w:lang w:val="es-CR"/>
        </w:rPr>
      </w:pPr>
      <w:r>
        <w:rPr>
          <w:lang w:val="es-CR"/>
        </w:rPr>
      </w:r>
    </w:p>
    <w:p>
      <w:pPr>
        <w:pStyle w:val="Normal"/>
        <w:rPr>
          <w:lang w:val="es-CR"/>
        </w:rPr>
      </w:pPr>
      <w:r>
        <w:rPr>
          <w:lang w:val="es-CR"/>
        </w:rPr>
      </w:r>
    </w:p>
    <w:p>
      <w:pPr>
        <w:pStyle w:val="Normal"/>
        <w:jc w:val="both"/>
        <w:rPr>
          <w:b/>
          <w:b/>
          <w:bCs/>
          <w:lang w:val="es-CR"/>
        </w:rPr>
      </w:pPr>
      <w:r>
        <w:rPr>
          <w:b/>
          <w:bCs/>
          <w:lang w:val="es-CR"/>
        </w:rPr>
        <w:t>I</w:t>
        <w:tab/>
        <w:t>INTRODUCCIÓN</w:t>
      </w:r>
    </w:p>
    <w:p>
      <w:pPr>
        <w:pStyle w:val="Normal"/>
        <w:ind w:firstLine="708"/>
        <w:jc w:val="both"/>
        <w:rPr>
          <w:b/>
          <w:b/>
          <w:bCs/>
          <w:lang w:val="es-CR"/>
        </w:rPr>
      </w:pPr>
      <w:r>
        <w:rPr>
          <w:b/>
          <w:bCs/>
          <w:lang w:val="es-CR"/>
        </w:rPr>
        <w:t>USO DE SOLUCIONES ENTERALES Y PARENTERALES</w:t>
      </w:r>
    </w:p>
    <w:p>
      <w:pPr>
        <w:pStyle w:val="Normal"/>
        <w:jc w:val="both"/>
        <w:rPr>
          <w:b/>
          <w:b/>
          <w:bCs/>
          <w:lang w:val="es-CR"/>
        </w:rPr>
      </w:pPr>
      <w:r>
        <w:rPr>
          <w:b/>
          <w:bCs/>
          <w:lang w:val="es-CR"/>
        </w:rPr>
      </w:r>
    </w:p>
    <w:p>
      <w:pPr>
        <w:pStyle w:val="Normal"/>
        <w:jc w:val="both"/>
        <w:rPr/>
      </w:pPr>
      <w:r>
        <w:rPr>
          <w:b/>
          <w:bCs/>
          <w:lang w:val="es-CR"/>
        </w:rPr>
        <w:tab/>
      </w:r>
      <w:r>
        <w:rPr>
          <w:lang w:val="es-CR"/>
        </w:rPr>
        <w:t xml:space="preserve">1.- </w:t>
      </w:r>
      <w:r>
        <w:rPr>
          <w:u w:val="single"/>
          <w:lang w:val="es-CR"/>
        </w:rPr>
        <w:t xml:space="preserve">USO </w:t>
      </w:r>
      <w:r>
        <w:rPr>
          <w:u w:val="single"/>
        </w:rPr>
        <w:t>DE SOLUCIONES PARENTERALES</w:t>
      </w:r>
      <w:r>
        <w:rPr/>
        <w:t>:</w:t>
      </w:r>
    </w:p>
    <w:p>
      <w:pPr>
        <w:pStyle w:val="Normal"/>
        <w:jc w:val="both"/>
        <w:rPr/>
      </w:pPr>
      <w:r>
        <w:rPr/>
      </w:r>
    </w:p>
    <w:p>
      <w:pPr>
        <w:pStyle w:val="Normal"/>
        <w:numPr>
          <w:ilvl w:val="0"/>
          <w:numId w:val="1"/>
        </w:numPr>
        <w:jc w:val="both"/>
        <w:rPr/>
      </w:pPr>
      <w:r>
        <w:rPr/>
        <w:t>Fisiología de los líquidos corporales</w:t>
      </w:r>
    </w:p>
    <w:p>
      <w:pPr>
        <w:pStyle w:val="Normal"/>
        <w:numPr>
          <w:ilvl w:val="0"/>
          <w:numId w:val="1"/>
        </w:numPr>
        <w:jc w:val="both"/>
        <w:rPr>
          <w:lang w:val="es-CR"/>
        </w:rPr>
      </w:pPr>
      <w:r>
        <w:rPr>
          <w:lang w:val="es-CR"/>
        </w:rPr>
        <w:t>Soluciones parenterales disponibles en el país</w:t>
      </w:r>
    </w:p>
    <w:p>
      <w:pPr>
        <w:pStyle w:val="Normal"/>
        <w:numPr>
          <w:ilvl w:val="0"/>
          <w:numId w:val="43"/>
        </w:numPr>
        <w:jc w:val="both"/>
        <w:rPr/>
      </w:pPr>
      <w:r>
        <w:rPr/>
        <w:t>Solución glucosa al 5%</w:t>
      </w:r>
    </w:p>
    <w:p>
      <w:pPr>
        <w:pStyle w:val="Normal"/>
        <w:numPr>
          <w:ilvl w:val="0"/>
          <w:numId w:val="43"/>
        </w:numPr>
        <w:jc w:val="both"/>
        <w:rPr/>
      </w:pPr>
      <w:r>
        <w:rPr/>
        <w:t>Solución mixta</w:t>
      </w:r>
    </w:p>
    <w:p>
      <w:pPr>
        <w:pStyle w:val="Normal"/>
        <w:numPr>
          <w:ilvl w:val="0"/>
          <w:numId w:val="43"/>
        </w:numPr>
        <w:jc w:val="both"/>
        <w:rPr/>
      </w:pPr>
      <w:r>
        <w:rPr/>
        <w:t>Solución salina hipotónica</w:t>
      </w:r>
    </w:p>
    <w:p>
      <w:pPr>
        <w:pStyle w:val="Normal"/>
        <w:numPr>
          <w:ilvl w:val="0"/>
          <w:numId w:val="43"/>
        </w:numPr>
        <w:jc w:val="both"/>
        <w:rPr/>
      </w:pPr>
      <w:r>
        <w:rPr/>
        <w:t>Soluciones salinas hipertónicas</w:t>
      </w:r>
    </w:p>
    <w:p>
      <w:pPr>
        <w:pStyle w:val="Normal"/>
        <w:numPr>
          <w:ilvl w:val="0"/>
          <w:numId w:val="43"/>
        </w:numPr>
        <w:jc w:val="both"/>
        <w:rPr/>
      </w:pPr>
      <w:r>
        <w:rPr/>
        <w:t>Solución DACA</w:t>
      </w:r>
    </w:p>
    <w:p>
      <w:pPr>
        <w:pStyle w:val="Normal"/>
        <w:numPr>
          <w:ilvl w:val="0"/>
          <w:numId w:val="43"/>
        </w:numPr>
        <w:jc w:val="both"/>
        <w:rPr/>
      </w:pPr>
      <w:r>
        <w:rPr/>
        <w:t>Soluciones coloidales</w:t>
      </w:r>
    </w:p>
    <w:p>
      <w:pPr>
        <w:pStyle w:val="Normal"/>
        <w:numPr>
          <w:ilvl w:val="0"/>
          <w:numId w:val="2"/>
        </w:numPr>
        <w:jc w:val="both"/>
        <w:rPr/>
      </w:pPr>
      <w:r>
        <w:rPr/>
        <w:t>Principios de fluidoterapia</w:t>
      </w:r>
    </w:p>
    <w:p>
      <w:pPr>
        <w:pStyle w:val="Normal"/>
        <w:numPr>
          <w:ilvl w:val="0"/>
          <w:numId w:val="2"/>
        </w:numPr>
        <w:jc w:val="both"/>
        <w:rPr/>
      </w:pPr>
      <w:r>
        <w:rPr/>
        <w:t>Soluciones cristaloides vrs. coloidales</w:t>
      </w:r>
    </w:p>
    <w:p>
      <w:pPr>
        <w:pStyle w:val="Normal"/>
        <w:rPr/>
      </w:pPr>
      <w:r>
        <w:rPr/>
      </w:r>
    </w:p>
    <w:p>
      <w:pPr>
        <w:pStyle w:val="Normal"/>
        <w:rPr/>
      </w:pPr>
      <w:r>
        <w:rPr/>
      </w:r>
    </w:p>
    <w:p>
      <w:pPr>
        <w:pStyle w:val="Normal"/>
        <w:ind w:left="705" w:hanging="705"/>
        <w:rPr/>
      </w:pPr>
      <w:r>
        <w:rPr>
          <w:b/>
          <w:bCs/>
        </w:rPr>
        <w:t>II</w:t>
        <w:tab/>
        <w:tab/>
        <w:t xml:space="preserve">MEDICAMENTOS ESENCIALES, PRESCRIPCIÓN RACIONAL </w:t>
      </w:r>
      <w:r>
        <w:rPr/>
        <w:t xml:space="preserve">   </w:t>
      </w:r>
    </w:p>
    <w:p>
      <w:pPr>
        <w:pStyle w:val="Normal"/>
        <w:rPr/>
      </w:pPr>
      <w:r>
        <w:rPr/>
      </w:r>
    </w:p>
    <w:p>
      <w:pPr>
        <w:pStyle w:val="Normal"/>
        <w:ind w:firstLine="708"/>
        <w:rPr>
          <w:lang w:val="es-CR"/>
        </w:rPr>
      </w:pPr>
      <w:r>
        <w:rPr>
          <w:lang w:val="es-CR"/>
        </w:rPr>
        <w:t xml:space="preserve">1.- </w:t>
      </w:r>
      <w:r>
        <w:rPr>
          <w:u w:val="single"/>
          <w:lang w:val="es-CR"/>
        </w:rPr>
        <w:t>PRESCRIPCIÓN Y USO RACIONAL DE MEDICAMENTOS</w:t>
      </w:r>
      <w:r>
        <w:rPr>
          <w:lang w:val="es-CR"/>
        </w:rPr>
        <w:t>:</w:t>
      </w:r>
    </w:p>
    <w:p>
      <w:pPr>
        <w:pStyle w:val="Normal"/>
        <w:rPr>
          <w:lang w:val="es-CR"/>
        </w:rPr>
      </w:pPr>
      <w:r>
        <w:rPr>
          <w:lang w:val="es-CR"/>
        </w:rPr>
        <w:tab/>
      </w:r>
    </w:p>
    <w:p>
      <w:pPr>
        <w:pStyle w:val="Normal"/>
        <w:numPr>
          <w:ilvl w:val="0"/>
          <w:numId w:val="3"/>
        </w:numPr>
        <w:jc w:val="both"/>
        <w:rPr>
          <w:lang w:val="es-CR"/>
        </w:rPr>
      </w:pPr>
      <w:r>
        <w:rPr>
          <w:lang w:val="es-CR"/>
        </w:rPr>
        <w:t>Principios y requerimientos para el uso de medicamentos</w:t>
      </w:r>
    </w:p>
    <w:p>
      <w:pPr>
        <w:pStyle w:val="Normal"/>
        <w:numPr>
          <w:ilvl w:val="0"/>
          <w:numId w:val="3"/>
        </w:numPr>
        <w:jc w:val="both"/>
        <w:rPr/>
      </w:pPr>
      <w:r>
        <w:rPr/>
        <w:t>Binomio beneficio/riesgo</w:t>
      </w:r>
    </w:p>
    <w:p>
      <w:pPr>
        <w:pStyle w:val="Normal"/>
        <w:numPr>
          <w:ilvl w:val="0"/>
          <w:numId w:val="3"/>
        </w:numPr>
        <w:jc w:val="both"/>
        <w:rPr/>
      </w:pPr>
      <w:r>
        <w:rPr/>
        <w:t>Diferenciación de efecto farmacológico – terapéutico</w:t>
      </w:r>
    </w:p>
    <w:p>
      <w:pPr>
        <w:pStyle w:val="Normal"/>
        <w:numPr>
          <w:ilvl w:val="0"/>
          <w:numId w:val="3"/>
        </w:numPr>
        <w:jc w:val="both"/>
        <w:rPr>
          <w:lang w:val="es-CR"/>
        </w:rPr>
      </w:pPr>
      <w:r>
        <w:rPr>
          <w:lang w:val="es-CR"/>
        </w:rPr>
        <w:t>Criterios relacionados con el paciente (fisiológicos, patológicos, genéticos, étnicos, ambientales) para selección individual de medicamentos</w:t>
      </w:r>
    </w:p>
    <w:p>
      <w:pPr>
        <w:pStyle w:val="Normal"/>
        <w:numPr>
          <w:ilvl w:val="0"/>
          <w:numId w:val="3"/>
        </w:numPr>
        <w:jc w:val="both"/>
        <w:rPr/>
      </w:pPr>
      <w:r>
        <w:rPr/>
        <w:t>Factores para minimizar la iatrogenia</w:t>
      </w:r>
    </w:p>
    <w:p>
      <w:pPr>
        <w:pStyle w:val="Normal"/>
        <w:numPr>
          <w:ilvl w:val="0"/>
          <w:numId w:val="3"/>
        </w:numPr>
        <w:jc w:val="both"/>
        <w:rPr>
          <w:lang w:val="es-CR"/>
        </w:rPr>
      </w:pPr>
      <w:r>
        <w:rPr>
          <w:lang w:val="es-CR"/>
        </w:rPr>
        <w:t>Aspectos mínimos a documentar para prescripción</w:t>
      </w:r>
    </w:p>
    <w:p>
      <w:pPr>
        <w:pStyle w:val="Normal"/>
        <w:numPr>
          <w:ilvl w:val="0"/>
          <w:numId w:val="3"/>
        </w:numPr>
        <w:jc w:val="both"/>
        <w:rPr>
          <w:lang w:val="es-CR"/>
        </w:rPr>
      </w:pPr>
      <w:r>
        <w:rPr>
          <w:lang w:val="es-CR"/>
        </w:rPr>
        <w:t>Uso de medicamentos y responsabilidad médica, farmacéutica y del paciente</w:t>
      </w:r>
    </w:p>
    <w:p>
      <w:pPr>
        <w:pStyle w:val="Normal"/>
        <w:ind w:firstLine="708"/>
        <w:jc w:val="both"/>
        <w:rPr>
          <w:lang w:val="es-CR"/>
        </w:rPr>
      </w:pPr>
      <w:r>
        <w:rPr>
          <w:lang w:val="es-CR"/>
        </w:rPr>
      </w:r>
    </w:p>
    <w:p>
      <w:pPr>
        <w:pStyle w:val="Normal"/>
        <w:ind w:firstLine="708"/>
        <w:jc w:val="both"/>
        <w:rPr/>
      </w:pPr>
      <w:r>
        <w:rPr/>
        <w:t xml:space="preserve">2.- </w:t>
      </w:r>
      <w:r>
        <w:rPr>
          <w:u w:val="single"/>
        </w:rPr>
        <w:t>MEDICAMENTOS ESENCIALES</w:t>
      </w:r>
      <w:r>
        <w:rPr/>
        <w:t>:</w:t>
      </w:r>
    </w:p>
    <w:p>
      <w:pPr>
        <w:pStyle w:val="Normal"/>
        <w:jc w:val="both"/>
        <w:rPr/>
      </w:pPr>
      <w:r>
        <w:rPr/>
        <w:tab/>
      </w:r>
    </w:p>
    <w:p>
      <w:pPr>
        <w:pStyle w:val="Normal"/>
        <w:numPr>
          <w:ilvl w:val="1"/>
          <w:numId w:val="4"/>
        </w:numPr>
        <w:jc w:val="both"/>
        <w:rPr>
          <w:lang w:val="es-CR"/>
        </w:rPr>
      </w:pPr>
      <w:r>
        <w:rPr>
          <w:lang w:val="es-CR"/>
        </w:rPr>
        <w:t>Definición  de OMS sobre medicamento esencial y listas indicativas</w:t>
      </w:r>
    </w:p>
    <w:p>
      <w:pPr>
        <w:pStyle w:val="Normal"/>
        <w:numPr>
          <w:ilvl w:val="1"/>
          <w:numId w:val="4"/>
        </w:numPr>
        <w:jc w:val="both"/>
        <w:rPr>
          <w:lang w:val="es-CR"/>
        </w:rPr>
      </w:pPr>
      <w:r>
        <w:rPr>
          <w:lang w:val="es-CR"/>
        </w:rPr>
        <w:t>Aspectos básicos para su tipificación-selección (características)</w:t>
      </w:r>
    </w:p>
    <w:p>
      <w:pPr>
        <w:pStyle w:val="Normal"/>
        <w:numPr>
          <w:ilvl w:val="1"/>
          <w:numId w:val="4"/>
        </w:numPr>
        <w:jc w:val="both"/>
        <w:rPr>
          <w:lang w:val="es-CR"/>
        </w:rPr>
      </w:pPr>
      <w:r>
        <w:rPr>
          <w:lang w:val="es-CR"/>
        </w:rPr>
        <w:t>Ventajas de la prescripción con nomenclatura genérica-oficial</w:t>
      </w:r>
    </w:p>
    <w:p>
      <w:pPr>
        <w:pStyle w:val="Normal"/>
        <w:numPr>
          <w:ilvl w:val="1"/>
          <w:numId w:val="4"/>
        </w:numPr>
        <w:jc w:val="both"/>
        <w:rPr>
          <w:lang w:val="es-CR"/>
        </w:rPr>
      </w:pPr>
      <w:r>
        <w:rPr>
          <w:lang w:val="es-CR"/>
        </w:rPr>
        <w:t>Formulario Terapéutico Nacional y Lista Oficial de Medicamentos CCSS</w:t>
      </w:r>
    </w:p>
    <w:p>
      <w:pPr>
        <w:pStyle w:val="Normal"/>
        <w:jc w:val="both"/>
        <w:rPr>
          <w:lang w:val="es-CR"/>
        </w:rPr>
      </w:pPr>
      <w:r>
        <w:rPr>
          <w:lang w:val="es-CR"/>
        </w:rPr>
      </w:r>
    </w:p>
    <w:p>
      <w:pPr>
        <w:pStyle w:val="Normal"/>
        <w:rPr>
          <w:lang w:val="es-CR"/>
        </w:rPr>
      </w:pPr>
      <w:r>
        <w:rPr>
          <w:lang w:val="es-CR"/>
        </w:rPr>
      </w:r>
    </w:p>
    <w:p>
      <w:pPr>
        <w:pStyle w:val="Normal"/>
        <w:rPr>
          <w:lang w:val="es-CR"/>
        </w:rPr>
      </w:pPr>
      <w:r>
        <w:rPr>
          <w:lang w:val="es-CR"/>
        </w:rPr>
      </w:r>
    </w:p>
    <w:p>
      <w:pPr>
        <w:pStyle w:val="Normal"/>
        <w:rPr>
          <w:lang w:val="es-CR"/>
        </w:rPr>
      </w:pPr>
      <w:r>
        <w:rPr>
          <w:lang w:val="es-CR"/>
        </w:rPr>
      </w:r>
    </w:p>
    <w:p>
      <w:pPr>
        <w:pStyle w:val="Normal"/>
        <w:rPr>
          <w:lang w:val="es-CR"/>
        </w:rPr>
      </w:pPr>
      <w:r>
        <w:rPr>
          <w:lang w:val="es-CR"/>
        </w:rPr>
      </w:r>
    </w:p>
    <w:p>
      <w:pPr>
        <w:pStyle w:val="Normal"/>
        <w:jc w:val="both"/>
        <w:rPr>
          <w:b/>
          <w:b/>
          <w:bCs/>
          <w:lang w:val="es-CR"/>
        </w:rPr>
      </w:pPr>
      <w:r>
        <w:rPr>
          <w:b/>
          <w:bCs/>
          <w:lang w:val="es-CR"/>
        </w:rPr>
        <w:t>III</w:t>
        <w:tab/>
        <w:t>FARMACOCINÉTICA Y FARMACOVIGILANCIA</w:t>
      </w:r>
    </w:p>
    <w:p>
      <w:pPr>
        <w:pStyle w:val="Normal"/>
        <w:jc w:val="both"/>
        <w:rPr>
          <w:lang w:val="es-CR"/>
        </w:rPr>
      </w:pPr>
      <w:r>
        <w:rPr>
          <w:lang w:val="es-CR"/>
        </w:rPr>
      </w:r>
    </w:p>
    <w:p>
      <w:pPr>
        <w:pStyle w:val="Normal"/>
        <w:ind w:left="708" w:hanging="0"/>
        <w:jc w:val="both"/>
        <w:rPr>
          <w:lang w:val="es-CR"/>
        </w:rPr>
      </w:pPr>
      <w:r>
        <w:rPr>
          <w:lang w:val="es-CR"/>
        </w:rPr>
        <w:t xml:space="preserve">1.- </w:t>
      </w:r>
      <w:r>
        <w:rPr>
          <w:u w:val="single"/>
          <w:lang w:val="es-CR"/>
        </w:rPr>
        <w:t>FARMACOCINÉTICA Y FARMACODINAMIA CLÍNICA</w:t>
      </w:r>
      <w:r>
        <w:rPr>
          <w:lang w:val="es-CR"/>
        </w:rPr>
        <w:t>:</w:t>
      </w:r>
    </w:p>
    <w:p>
      <w:pPr>
        <w:pStyle w:val="Normal"/>
        <w:ind w:left="360" w:hanging="0"/>
        <w:jc w:val="both"/>
        <w:rPr>
          <w:u w:val="single"/>
          <w:lang w:val="es-CR"/>
        </w:rPr>
      </w:pPr>
      <w:r>
        <w:rPr>
          <w:u w:val="single"/>
          <w:lang w:val="es-CR"/>
        </w:rPr>
      </w:r>
    </w:p>
    <w:p>
      <w:pPr>
        <w:pStyle w:val="Normal"/>
        <w:numPr>
          <w:ilvl w:val="0"/>
          <w:numId w:val="5"/>
        </w:numPr>
        <w:jc w:val="both"/>
        <w:rPr/>
      </w:pPr>
      <w:r>
        <w:rPr/>
        <w:t>Concepto de cinética clínica</w:t>
      </w:r>
    </w:p>
    <w:p>
      <w:pPr>
        <w:pStyle w:val="Normal"/>
        <w:numPr>
          <w:ilvl w:val="0"/>
          <w:numId w:val="5"/>
        </w:numPr>
        <w:jc w:val="both"/>
        <w:rPr>
          <w:lang w:val="es-CR"/>
        </w:rPr>
      </w:pPr>
      <w:r>
        <w:rPr>
          <w:lang w:val="es-CR"/>
        </w:rPr>
        <w:t>Valoración de la eficacia de los medicamentos genéricos por medio de métodos farmacocinéticos</w:t>
      </w:r>
    </w:p>
    <w:p>
      <w:pPr>
        <w:pStyle w:val="Normal"/>
        <w:numPr>
          <w:ilvl w:val="0"/>
          <w:numId w:val="5"/>
        </w:numPr>
        <w:jc w:val="both"/>
        <w:rPr>
          <w:lang w:val="es-CR"/>
        </w:rPr>
      </w:pPr>
      <w:r>
        <w:rPr>
          <w:lang w:val="es-CR"/>
        </w:rPr>
        <w:t>Factores clínicos que modifican la absorción gastrointestinal de los medicamentos</w:t>
      </w:r>
    </w:p>
    <w:p>
      <w:pPr>
        <w:pStyle w:val="Normal"/>
        <w:numPr>
          <w:ilvl w:val="0"/>
          <w:numId w:val="5"/>
        </w:numPr>
        <w:jc w:val="both"/>
        <w:rPr>
          <w:lang w:val="es-CR"/>
        </w:rPr>
      </w:pPr>
      <w:r>
        <w:rPr>
          <w:lang w:val="es-CR"/>
        </w:rPr>
        <w:t xml:space="preserve">Factores patológicos que condicionan el perfil cinético de los medicamentos </w:t>
      </w:r>
    </w:p>
    <w:p>
      <w:pPr>
        <w:pStyle w:val="Normal"/>
        <w:numPr>
          <w:ilvl w:val="0"/>
          <w:numId w:val="5"/>
        </w:numPr>
        <w:jc w:val="both"/>
        <w:rPr>
          <w:lang w:val="es-CR"/>
        </w:rPr>
      </w:pPr>
      <w:r>
        <w:rPr>
          <w:lang w:val="es-CR"/>
        </w:rPr>
        <w:t>Indicaciones para la determinación de niveles sanguíneos de medicamentos</w:t>
      </w:r>
    </w:p>
    <w:p>
      <w:pPr>
        <w:pStyle w:val="Normal"/>
        <w:numPr>
          <w:ilvl w:val="0"/>
          <w:numId w:val="5"/>
        </w:numPr>
        <w:jc w:val="both"/>
        <w:rPr>
          <w:lang w:val="es-CR"/>
        </w:rPr>
      </w:pPr>
      <w:r>
        <w:rPr>
          <w:lang w:val="es-CR"/>
        </w:rPr>
        <w:t>Relaciones entre intervalo de administración, dosis única, estado estacionario; dosis de carga, dosis de mantenimiento</w:t>
      </w:r>
    </w:p>
    <w:p>
      <w:pPr>
        <w:pStyle w:val="Normal"/>
        <w:numPr>
          <w:ilvl w:val="0"/>
          <w:numId w:val="5"/>
        </w:numPr>
        <w:jc w:val="both"/>
        <w:rPr>
          <w:lang w:val="es-CR"/>
        </w:rPr>
      </w:pPr>
      <w:r>
        <w:rPr>
          <w:lang w:val="es-CR"/>
        </w:rPr>
        <w:t>Monitorización de la respuesta clínica:  efectos farmacológicos y terapéuticos</w:t>
      </w:r>
    </w:p>
    <w:p>
      <w:pPr>
        <w:pStyle w:val="Normal"/>
        <w:numPr>
          <w:ilvl w:val="0"/>
          <w:numId w:val="5"/>
        </w:numPr>
        <w:jc w:val="both"/>
        <w:rPr>
          <w:lang w:val="es-CR"/>
        </w:rPr>
      </w:pPr>
      <w:r>
        <w:rPr>
          <w:lang w:val="es-CR"/>
        </w:rPr>
        <w:t>Factores clínicos que modifican la respuesta a fármacos con ejemplos de potencia y eficacia</w:t>
      </w:r>
    </w:p>
    <w:p>
      <w:pPr>
        <w:pStyle w:val="Normal"/>
        <w:rPr>
          <w:b/>
          <w:b/>
          <w:bCs/>
          <w:lang w:val="es-CR"/>
        </w:rPr>
      </w:pPr>
      <w:r>
        <w:rPr>
          <w:b/>
          <w:bCs/>
          <w:lang w:val="es-CR"/>
        </w:rPr>
      </w:r>
    </w:p>
    <w:p>
      <w:pPr>
        <w:pStyle w:val="Normal"/>
        <w:ind w:firstLine="708"/>
        <w:jc w:val="both"/>
        <w:rPr>
          <w:b/>
          <w:b/>
          <w:bCs/>
        </w:rPr>
      </w:pPr>
      <w:r>
        <w:rPr/>
        <w:t xml:space="preserve">2.- </w:t>
      </w:r>
      <w:r>
        <w:rPr>
          <w:u w:val="single"/>
        </w:rPr>
        <w:t>FARMACOVIGILANCIA</w:t>
      </w:r>
      <w:r>
        <w:rPr/>
        <w:t>:</w:t>
      </w:r>
    </w:p>
    <w:p>
      <w:pPr>
        <w:pStyle w:val="Normal"/>
        <w:jc w:val="both"/>
        <w:rPr>
          <w:b/>
          <w:b/>
          <w:bCs/>
        </w:rPr>
      </w:pPr>
      <w:r>
        <w:rPr>
          <w:b/>
          <w:bCs/>
        </w:rPr>
      </w:r>
    </w:p>
    <w:p>
      <w:pPr>
        <w:pStyle w:val="Normal"/>
        <w:numPr>
          <w:ilvl w:val="0"/>
          <w:numId w:val="6"/>
        </w:numPr>
        <w:jc w:val="both"/>
        <w:rPr>
          <w:lang w:val="es-CR"/>
        </w:rPr>
      </w:pPr>
      <w:r>
        <w:rPr>
          <w:lang w:val="es-CR"/>
        </w:rPr>
        <w:t>Concepto de reacción adversa – efectos colaterales y falla terapéutica por medicamentos</w:t>
      </w:r>
    </w:p>
    <w:p>
      <w:pPr>
        <w:pStyle w:val="Normal"/>
        <w:numPr>
          <w:ilvl w:val="0"/>
          <w:numId w:val="6"/>
        </w:numPr>
        <w:jc w:val="both"/>
        <w:rPr>
          <w:lang w:val="es-CR"/>
        </w:rPr>
      </w:pPr>
      <w:r>
        <w:rPr>
          <w:lang w:val="es-CR"/>
        </w:rPr>
        <w:t>Existencia y gestión del Centro Nacional de Farmacovigilancia y Centro Mundial de OMS en Upsala</w:t>
      </w:r>
    </w:p>
    <w:p>
      <w:pPr>
        <w:pStyle w:val="Normal"/>
        <w:numPr>
          <w:ilvl w:val="0"/>
          <w:numId w:val="6"/>
        </w:numPr>
        <w:jc w:val="both"/>
        <w:rPr/>
      </w:pPr>
      <w:r>
        <w:rPr/>
        <w:t>Aplicación y sistemas en Farmacovigilancia</w:t>
      </w:r>
    </w:p>
    <w:p>
      <w:pPr>
        <w:pStyle w:val="Normal"/>
        <w:numPr>
          <w:ilvl w:val="0"/>
          <w:numId w:val="6"/>
        </w:numPr>
        <w:jc w:val="both"/>
        <w:rPr>
          <w:lang w:val="es-CR"/>
        </w:rPr>
      </w:pPr>
      <w:r>
        <w:rPr>
          <w:lang w:val="es-CR"/>
        </w:rPr>
        <w:t>Posibilidades de notificación de reacciones adversas y participación individual</w:t>
      </w:r>
    </w:p>
    <w:p>
      <w:pPr>
        <w:pStyle w:val="Normal"/>
        <w:numPr>
          <w:ilvl w:val="0"/>
          <w:numId w:val="6"/>
        </w:numPr>
        <w:jc w:val="both"/>
        <w:rPr/>
      </w:pPr>
      <w:r>
        <w:rPr/>
        <w:t>Evaluación de posibles reacciones reportadas</w:t>
      </w:r>
    </w:p>
    <w:p>
      <w:pPr>
        <w:pStyle w:val="Normal"/>
        <w:numPr>
          <w:ilvl w:val="0"/>
          <w:numId w:val="6"/>
        </w:numPr>
        <w:jc w:val="both"/>
        <w:rPr/>
      </w:pPr>
      <w:r>
        <w:rPr/>
        <w:t>Desestimulación de la automedicación</w:t>
      </w:r>
    </w:p>
    <w:p>
      <w:pPr>
        <w:pStyle w:val="Normal"/>
        <w:ind w:left="1063" w:hanging="0"/>
        <w:rPr/>
      </w:pPr>
      <w:r>
        <w:rPr/>
      </w:r>
    </w:p>
    <w:p>
      <w:pPr>
        <w:pStyle w:val="Encabezado1"/>
        <w:rPr/>
      </w:pPr>
      <w:r>
        <w:rPr/>
        <w:t>IV</w:t>
        <w:tab/>
        <w:t>ENSAYO CLÍNICO Y FUENTES DE INFORMACIÓN</w:t>
      </w:r>
    </w:p>
    <w:p>
      <w:pPr>
        <w:pStyle w:val="Normal"/>
        <w:rPr>
          <w:b/>
          <w:b/>
          <w:bCs/>
          <w:lang w:val="es-CR"/>
        </w:rPr>
      </w:pPr>
      <w:r>
        <w:rPr>
          <w:lang w:val="es-CR"/>
        </w:rPr>
        <w:tab/>
      </w:r>
      <w:r>
        <w:rPr>
          <w:b/>
          <w:bCs/>
          <w:lang w:val="es-CR"/>
        </w:rPr>
        <w:t>FARMACOTERAPIA EN ADULTO MAYOR</w:t>
      </w:r>
    </w:p>
    <w:p>
      <w:pPr>
        <w:pStyle w:val="Normal"/>
        <w:rPr>
          <w:b/>
          <w:b/>
          <w:bCs/>
          <w:lang w:val="es-CR"/>
        </w:rPr>
      </w:pPr>
      <w:r>
        <w:rPr>
          <w:b/>
          <w:bCs/>
          <w:lang w:val="es-CR"/>
        </w:rPr>
        <w:tab/>
        <w:t>FARMACOTERAPIA DURANTE EMBARAZO Y LACTANCIA</w:t>
      </w:r>
    </w:p>
    <w:p>
      <w:pPr>
        <w:pStyle w:val="Normal"/>
        <w:rPr>
          <w:lang w:val="es-CR"/>
        </w:rPr>
      </w:pPr>
      <w:r>
        <w:rPr>
          <w:lang w:val="es-CR"/>
        </w:rPr>
      </w:r>
    </w:p>
    <w:p>
      <w:pPr>
        <w:pStyle w:val="Normal"/>
        <w:jc w:val="both"/>
        <w:rPr>
          <w:lang w:val="es-CR"/>
        </w:rPr>
      </w:pPr>
      <w:r>
        <w:rPr>
          <w:lang w:val="es-CR"/>
        </w:rPr>
        <w:tab/>
        <w:t xml:space="preserve">1.- </w:t>
      </w:r>
      <w:r>
        <w:rPr>
          <w:u w:val="single"/>
          <w:lang w:val="es-CR"/>
        </w:rPr>
        <w:t>FARMACOTERAPIA DURANTE EMBARAZO Y LACTANCIA</w:t>
      </w:r>
      <w:r>
        <w:rPr>
          <w:lang w:val="es-CR"/>
        </w:rPr>
        <w:t>:</w:t>
      </w:r>
    </w:p>
    <w:p>
      <w:pPr>
        <w:pStyle w:val="Normal"/>
        <w:jc w:val="both"/>
        <w:rPr>
          <w:lang w:val="es-CR"/>
        </w:rPr>
      </w:pPr>
      <w:r>
        <w:rPr>
          <w:lang w:val="es-CR"/>
        </w:rPr>
      </w:r>
    </w:p>
    <w:p>
      <w:pPr>
        <w:pStyle w:val="Normal"/>
        <w:numPr>
          <w:ilvl w:val="0"/>
          <w:numId w:val="46"/>
        </w:numPr>
        <w:jc w:val="both"/>
        <w:rPr>
          <w:lang w:val="es-CR"/>
        </w:rPr>
      </w:pPr>
      <w:r>
        <w:rPr>
          <w:lang w:val="es-CR"/>
        </w:rPr>
        <w:t>Propiedades de los medicamentos para el paso de membranas placentarias</w:t>
      </w:r>
    </w:p>
    <w:p>
      <w:pPr>
        <w:pStyle w:val="Normal"/>
        <w:numPr>
          <w:ilvl w:val="0"/>
          <w:numId w:val="46"/>
        </w:numPr>
        <w:jc w:val="both"/>
        <w:rPr>
          <w:lang w:val="es-CR"/>
        </w:rPr>
      </w:pPr>
      <w:r>
        <w:rPr>
          <w:lang w:val="es-CR"/>
        </w:rPr>
        <w:t>Embarazo como estado fisiológico modificador de cinética de medicamentos</w:t>
      </w:r>
    </w:p>
    <w:p>
      <w:pPr>
        <w:pStyle w:val="Normal"/>
        <w:numPr>
          <w:ilvl w:val="0"/>
          <w:numId w:val="46"/>
        </w:numPr>
        <w:jc w:val="both"/>
        <w:rPr>
          <w:lang w:val="es-CR"/>
        </w:rPr>
      </w:pPr>
      <w:r>
        <w:rPr>
          <w:lang w:val="es-CR"/>
        </w:rPr>
        <w:t>Cambios en parámetros cinéticos durante el embarazo y ajustes de dosis</w:t>
      </w:r>
    </w:p>
    <w:p>
      <w:pPr>
        <w:pStyle w:val="Normal"/>
        <w:numPr>
          <w:ilvl w:val="0"/>
          <w:numId w:val="46"/>
        </w:numPr>
        <w:jc w:val="both"/>
        <w:rPr>
          <w:lang w:val="es-CR"/>
        </w:rPr>
      </w:pPr>
      <w:r>
        <w:rPr>
          <w:lang w:val="es-CR"/>
        </w:rPr>
        <w:t>Monitorización de niveles sanguíneos de medicamentos en embarazadas</w:t>
      </w:r>
    </w:p>
    <w:p>
      <w:pPr>
        <w:pStyle w:val="Normal"/>
        <w:numPr>
          <w:ilvl w:val="0"/>
          <w:numId w:val="46"/>
        </w:numPr>
        <w:jc w:val="both"/>
        <w:rPr/>
      </w:pPr>
      <w:r>
        <w:rPr/>
        <w:t>Biotransformación placentaria y fetal</w:t>
      </w:r>
    </w:p>
    <w:p>
      <w:pPr>
        <w:pStyle w:val="Normal"/>
        <w:numPr>
          <w:ilvl w:val="0"/>
          <w:numId w:val="46"/>
        </w:numPr>
        <w:jc w:val="both"/>
        <w:rPr>
          <w:lang w:val="es-CR"/>
        </w:rPr>
      </w:pPr>
      <w:r>
        <w:rPr>
          <w:lang w:val="es-CR"/>
        </w:rPr>
        <w:t>Principios terapéuticos aplicados a embarazadas, principio de evitación y riesgo/beneficio</w:t>
      </w:r>
    </w:p>
    <w:p>
      <w:pPr>
        <w:pStyle w:val="Normal"/>
        <w:numPr>
          <w:ilvl w:val="0"/>
          <w:numId w:val="46"/>
        </w:numPr>
        <w:jc w:val="both"/>
        <w:rPr>
          <w:lang w:val="es-CR"/>
        </w:rPr>
      </w:pPr>
      <w:r>
        <w:rPr>
          <w:lang w:val="es-CR"/>
        </w:rPr>
        <w:t>Medidas profilácticas con medicamentos (ácido fólico)</w:t>
      </w:r>
    </w:p>
    <w:p>
      <w:pPr>
        <w:pStyle w:val="Normal"/>
        <w:numPr>
          <w:ilvl w:val="0"/>
          <w:numId w:val="46"/>
        </w:numPr>
        <w:jc w:val="both"/>
        <w:rPr>
          <w:lang w:val="es-CR"/>
        </w:rPr>
      </w:pPr>
      <w:r>
        <w:rPr>
          <w:lang w:val="es-CR"/>
        </w:rPr>
        <w:t>Tipificación de medicamentos según información disponible sobre riesgo para el producto (clasificación A-B-C-D-X), teratogenicidad</w:t>
      </w:r>
    </w:p>
    <w:p>
      <w:pPr>
        <w:pStyle w:val="Normal"/>
        <w:ind w:left="705" w:hanging="0"/>
        <w:rPr>
          <w:lang w:val="es-CR"/>
        </w:rPr>
      </w:pPr>
      <w:r>
        <w:rPr>
          <w:lang w:val="es-CR"/>
        </w:rPr>
        <w:t xml:space="preserve">2.- </w:t>
      </w:r>
      <w:r>
        <w:rPr>
          <w:u w:val="single"/>
          <w:lang w:val="es-CR"/>
        </w:rPr>
        <w:t>FARMACOTERAPIA EN EL ADULTO MAYOR</w:t>
      </w:r>
      <w:r>
        <w:rPr>
          <w:lang w:val="es-CR"/>
        </w:rPr>
        <w:t>:</w:t>
      </w:r>
    </w:p>
    <w:p>
      <w:pPr>
        <w:pStyle w:val="Normal"/>
        <w:ind w:left="705" w:hanging="0"/>
        <w:rPr>
          <w:lang w:val="es-CR"/>
        </w:rPr>
      </w:pPr>
      <w:r>
        <w:rPr>
          <w:lang w:val="es-CR"/>
        </w:rPr>
      </w:r>
    </w:p>
    <w:p>
      <w:pPr>
        <w:pStyle w:val="Normal"/>
        <w:numPr>
          <w:ilvl w:val="0"/>
          <w:numId w:val="47"/>
        </w:numPr>
        <w:jc w:val="both"/>
        <w:rPr>
          <w:lang w:val="es-CR"/>
        </w:rPr>
      </w:pPr>
      <w:r>
        <w:rPr>
          <w:lang w:val="es-CR"/>
        </w:rPr>
        <w:t>Concepto y procesos fisiológicos del envejecimiento</w:t>
      </w:r>
    </w:p>
    <w:p>
      <w:pPr>
        <w:pStyle w:val="Normal"/>
        <w:numPr>
          <w:ilvl w:val="0"/>
          <w:numId w:val="47"/>
        </w:numPr>
        <w:jc w:val="both"/>
        <w:rPr/>
      </w:pPr>
      <w:r>
        <w:rPr/>
        <w:t>Medicamentos como causa de morbilidad</w:t>
      </w:r>
    </w:p>
    <w:p>
      <w:pPr>
        <w:pStyle w:val="Normal"/>
        <w:numPr>
          <w:ilvl w:val="0"/>
          <w:numId w:val="47"/>
        </w:numPr>
        <w:jc w:val="both"/>
        <w:rPr>
          <w:lang w:val="es-CR"/>
        </w:rPr>
      </w:pPr>
      <w:r>
        <w:rPr>
          <w:lang w:val="es-CR"/>
        </w:rPr>
        <w:t>Cambios cinéticos y dinámicos por envejecimiento</w:t>
      </w:r>
    </w:p>
    <w:p>
      <w:pPr>
        <w:pStyle w:val="Normal"/>
        <w:numPr>
          <w:ilvl w:val="0"/>
          <w:numId w:val="47"/>
        </w:numPr>
        <w:jc w:val="both"/>
        <w:rPr>
          <w:lang w:val="es-CR"/>
        </w:rPr>
      </w:pPr>
      <w:r>
        <w:rPr>
          <w:lang w:val="es-CR"/>
        </w:rPr>
        <w:t>Monitorización de efectos y medicamentos vs manifestaciones mórbidas</w:t>
      </w:r>
    </w:p>
    <w:p>
      <w:pPr>
        <w:pStyle w:val="Normal"/>
        <w:numPr>
          <w:ilvl w:val="0"/>
          <w:numId w:val="47"/>
        </w:numPr>
        <w:jc w:val="both"/>
        <w:rPr>
          <w:lang w:val="es-CR"/>
        </w:rPr>
      </w:pPr>
      <w:r>
        <w:rPr>
          <w:lang w:val="es-CR"/>
        </w:rPr>
        <w:t>Principios para prescripción racional en ancianos</w:t>
      </w:r>
    </w:p>
    <w:p>
      <w:pPr>
        <w:pStyle w:val="Normal"/>
        <w:ind w:left="1425" w:hanging="0"/>
        <w:jc w:val="both"/>
        <w:rPr>
          <w:lang w:val="es-CR"/>
        </w:rPr>
      </w:pPr>
      <w:r>
        <w:rPr>
          <w:lang w:val="es-CR"/>
        </w:rPr>
      </w:r>
    </w:p>
    <w:p>
      <w:pPr>
        <w:pStyle w:val="Normal"/>
        <w:jc w:val="both"/>
        <w:rPr>
          <w:lang w:val="es-CR"/>
        </w:rPr>
      </w:pPr>
      <w:r>
        <w:rPr>
          <w:lang w:val="es-CR"/>
        </w:rPr>
      </w:r>
    </w:p>
    <w:p>
      <w:pPr>
        <w:pStyle w:val="Encabezado1"/>
        <w:ind w:left="705" w:hanging="705"/>
        <w:jc w:val="both"/>
        <w:rPr/>
      </w:pPr>
      <w:r>
        <w:rPr/>
        <w:t>V</w:t>
        <w:tab/>
        <w:t>TRATAMIENTO DE LA OSTEOPOROSIS, REEMPLAZO ESTRÓGENICO Y EMERGENCIAS ENDOCRINOLÓGICAS</w:t>
      </w:r>
    </w:p>
    <w:p>
      <w:pPr>
        <w:pStyle w:val="Normal"/>
        <w:rPr>
          <w:b/>
          <w:b/>
          <w:bCs/>
          <w:lang w:val="es-CR"/>
        </w:rPr>
      </w:pPr>
      <w:r>
        <w:rPr>
          <w:b/>
          <w:bCs/>
          <w:lang w:val="es-CR"/>
        </w:rPr>
      </w:r>
    </w:p>
    <w:p>
      <w:pPr>
        <w:pStyle w:val="Normal"/>
        <w:rPr/>
      </w:pPr>
      <w:r>
        <w:rPr>
          <w:lang w:val="es-CR"/>
        </w:rPr>
        <w:tab/>
      </w:r>
      <w:r>
        <w:rPr/>
        <w:t xml:space="preserve">1.- </w:t>
      </w:r>
      <w:r>
        <w:rPr>
          <w:u w:val="single"/>
        </w:rPr>
        <w:t>TRATAMIENTO DE OSTEOPOROSIS</w:t>
      </w:r>
      <w:r>
        <w:rPr/>
        <w:t>:</w:t>
      </w:r>
    </w:p>
    <w:p>
      <w:pPr>
        <w:pStyle w:val="Normal"/>
        <w:rPr/>
      </w:pPr>
      <w:r>
        <w:rPr/>
      </w:r>
    </w:p>
    <w:p>
      <w:pPr>
        <w:pStyle w:val="Normal"/>
        <w:numPr>
          <w:ilvl w:val="0"/>
          <w:numId w:val="8"/>
        </w:numPr>
        <w:jc w:val="both"/>
        <w:rPr>
          <w:lang w:val="es-CR"/>
        </w:rPr>
      </w:pPr>
      <w:r>
        <w:rPr>
          <w:lang w:val="es-CR"/>
        </w:rPr>
        <w:t>Clasificación de medicamentos disponibles para tratamiento de osteoporosis:  antiresortivos y anabólicos</w:t>
      </w:r>
    </w:p>
    <w:p>
      <w:pPr>
        <w:pStyle w:val="Normal"/>
        <w:numPr>
          <w:ilvl w:val="0"/>
          <w:numId w:val="8"/>
        </w:numPr>
        <w:jc w:val="both"/>
        <w:rPr>
          <w:lang w:val="es-CR"/>
        </w:rPr>
      </w:pPr>
      <w:r>
        <w:rPr>
          <w:lang w:val="es-CR"/>
        </w:rPr>
        <w:t>Eficacia en prevención de fracturas de antiresortivos:  calcio, vitamina D, bifosfonatos, SERMs, calcitonina y terapia reemplazo hormonal</w:t>
      </w:r>
    </w:p>
    <w:p>
      <w:pPr>
        <w:pStyle w:val="Normal"/>
        <w:numPr>
          <w:ilvl w:val="0"/>
          <w:numId w:val="8"/>
        </w:numPr>
        <w:jc w:val="both"/>
        <w:rPr>
          <w:lang w:val="es-CR"/>
        </w:rPr>
      </w:pPr>
      <w:r>
        <w:rPr>
          <w:lang w:val="es-CR"/>
        </w:rPr>
        <w:t>Eficacia clínica de anabólicos:  PTH recombinante humana</w:t>
      </w:r>
    </w:p>
    <w:p>
      <w:pPr>
        <w:pStyle w:val="Normal"/>
        <w:numPr>
          <w:ilvl w:val="0"/>
          <w:numId w:val="8"/>
        </w:numPr>
        <w:jc w:val="both"/>
        <w:rPr>
          <w:lang w:val="es-CR"/>
        </w:rPr>
      </w:pPr>
      <w:r>
        <w:rPr>
          <w:lang w:val="es-CR"/>
        </w:rPr>
        <w:t>Efectividad para prevención de fracturas vertebrales y no vertebrales</w:t>
      </w:r>
    </w:p>
    <w:p>
      <w:pPr>
        <w:pStyle w:val="Normal"/>
        <w:numPr>
          <w:ilvl w:val="0"/>
          <w:numId w:val="8"/>
        </w:numPr>
        <w:jc w:val="both"/>
        <w:rPr>
          <w:lang w:val="es-CR"/>
        </w:rPr>
      </w:pPr>
      <w:r>
        <w:rPr>
          <w:lang w:val="es-CR"/>
        </w:rPr>
        <w:t>Tiempo mínimo de tratamiento para lograr eficacia en reducción de fracturas y ver diferencia en densitometrías</w:t>
      </w:r>
    </w:p>
    <w:p>
      <w:pPr>
        <w:pStyle w:val="Normal"/>
        <w:numPr>
          <w:ilvl w:val="0"/>
          <w:numId w:val="8"/>
        </w:numPr>
        <w:jc w:val="both"/>
        <w:rPr>
          <w:lang w:val="es-CR"/>
        </w:rPr>
      </w:pPr>
      <w:r>
        <w:rPr>
          <w:lang w:val="es-CR"/>
        </w:rPr>
        <w:t>Esquemas disponibles de tratamiento de osteoporosis</w:t>
      </w:r>
    </w:p>
    <w:p>
      <w:pPr>
        <w:pStyle w:val="Normal"/>
        <w:rPr>
          <w:lang w:val="es-CR"/>
        </w:rPr>
      </w:pPr>
      <w:r>
        <w:rPr>
          <w:lang w:val="es-CR"/>
        </w:rPr>
      </w:r>
    </w:p>
    <w:p>
      <w:pPr>
        <w:pStyle w:val="Normal"/>
        <w:ind w:left="708" w:hanging="0"/>
        <w:jc w:val="both"/>
        <w:rPr/>
      </w:pPr>
      <w:r>
        <w:rPr/>
        <w:t xml:space="preserve">2.- </w:t>
      </w:r>
      <w:r>
        <w:rPr>
          <w:u w:val="single"/>
        </w:rPr>
        <w:t>REEMPLAZO ESTROGÉNICO</w:t>
      </w:r>
      <w:r>
        <w:rPr/>
        <w:t>:</w:t>
      </w:r>
    </w:p>
    <w:p>
      <w:pPr>
        <w:pStyle w:val="Normal"/>
        <w:ind w:left="708" w:hanging="0"/>
        <w:jc w:val="both"/>
        <w:rPr/>
      </w:pPr>
      <w:r>
        <w:rPr/>
      </w:r>
    </w:p>
    <w:p>
      <w:pPr>
        <w:pStyle w:val="Normal"/>
        <w:numPr>
          <w:ilvl w:val="0"/>
          <w:numId w:val="9"/>
        </w:numPr>
        <w:jc w:val="both"/>
        <w:rPr/>
      </w:pPr>
      <w:r>
        <w:rPr/>
        <w:t>Fundamento fisiológico para reemplazo estrogénico</w:t>
      </w:r>
    </w:p>
    <w:p>
      <w:pPr>
        <w:pStyle w:val="Normal"/>
        <w:numPr>
          <w:ilvl w:val="0"/>
          <w:numId w:val="9"/>
        </w:numPr>
        <w:jc w:val="both"/>
        <w:rPr>
          <w:lang w:val="es-CR"/>
        </w:rPr>
      </w:pPr>
      <w:r>
        <w:rPr>
          <w:lang w:val="es-CR"/>
        </w:rPr>
        <w:t>Preparados y vías de administración disponibles para reemplazo estrogénico</w:t>
      </w:r>
    </w:p>
    <w:p>
      <w:pPr>
        <w:pStyle w:val="Normal"/>
        <w:numPr>
          <w:ilvl w:val="0"/>
          <w:numId w:val="9"/>
        </w:numPr>
        <w:jc w:val="both"/>
        <w:rPr>
          <w:lang w:val="es-CR"/>
        </w:rPr>
      </w:pPr>
      <w:r>
        <w:rPr>
          <w:lang w:val="es-CR"/>
        </w:rPr>
        <w:t>Riesgos y beneficios actuales de la terapia de reemplazo hormonal a la luz del estudio Women’s Health Initiative</w:t>
      </w:r>
    </w:p>
    <w:p>
      <w:pPr>
        <w:pStyle w:val="Normal"/>
        <w:numPr>
          <w:ilvl w:val="0"/>
          <w:numId w:val="9"/>
        </w:numPr>
        <w:jc w:val="both"/>
        <w:rPr>
          <w:lang w:val="es-CR"/>
        </w:rPr>
      </w:pPr>
      <w:r>
        <w:rPr>
          <w:lang w:val="es-CR"/>
        </w:rPr>
        <w:t>Indicaciones para reemplazo estrogénico que son seguros hoy en día</w:t>
      </w:r>
    </w:p>
    <w:p>
      <w:pPr>
        <w:pStyle w:val="Normal"/>
        <w:jc w:val="both"/>
        <w:rPr>
          <w:lang w:val="es-CR"/>
        </w:rPr>
      </w:pPr>
      <w:r>
        <w:rPr>
          <w:lang w:val="es-CR"/>
        </w:rPr>
      </w:r>
    </w:p>
    <w:p>
      <w:pPr>
        <w:pStyle w:val="Normal"/>
        <w:rPr>
          <w:lang w:val="es-CR"/>
        </w:rPr>
      </w:pPr>
      <w:r>
        <w:rPr>
          <w:lang w:val="es-CR"/>
        </w:rPr>
      </w:r>
    </w:p>
    <w:p>
      <w:pPr>
        <w:pStyle w:val="Encabezado1"/>
        <w:rPr/>
      </w:pPr>
      <w:r>
        <w:rPr/>
        <w:t>VI</w:t>
        <w:tab/>
        <w:t>INSULINAS Y ANTIDIABÉTICOS ORALES</w:t>
      </w:r>
    </w:p>
    <w:p>
      <w:pPr>
        <w:pStyle w:val="Normal"/>
        <w:rPr>
          <w:lang w:val="es-CR"/>
        </w:rPr>
      </w:pPr>
      <w:r>
        <w:rPr>
          <w:lang w:val="es-CR"/>
        </w:rPr>
      </w:r>
    </w:p>
    <w:p>
      <w:pPr>
        <w:pStyle w:val="Normal"/>
        <w:jc w:val="both"/>
        <w:rPr>
          <w:lang w:val="es-CR"/>
        </w:rPr>
      </w:pPr>
      <w:r>
        <w:rPr>
          <w:lang w:val="es-CR"/>
        </w:rPr>
        <w:tab/>
        <w:t xml:space="preserve">1.- </w:t>
      </w:r>
      <w:r>
        <w:rPr>
          <w:u w:val="single"/>
          <w:lang w:val="es-CR"/>
        </w:rPr>
        <w:t>INSULINAS</w:t>
      </w:r>
      <w:r>
        <w:rPr>
          <w:lang w:val="es-CR"/>
        </w:rPr>
        <w:t>:</w:t>
      </w:r>
    </w:p>
    <w:p>
      <w:pPr>
        <w:pStyle w:val="Normal"/>
        <w:jc w:val="both"/>
        <w:rPr>
          <w:lang w:val="es-CR"/>
        </w:rPr>
      </w:pPr>
      <w:r>
        <w:rPr>
          <w:lang w:val="es-CR"/>
        </w:rPr>
      </w:r>
    </w:p>
    <w:p>
      <w:pPr>
        <w:pStyle w:val="Normal"/>
        <w:numPr>
          <w:ilvl w:val="0"/>
          <w:numId w:val="10"/>
        </w:numPr>
        <w:jc w:val="both"/>
        <w:rPr>
          <w:lang w:val="es-CR"/>
        </w:rPr>
      </w:pPr>
      <w:r>
        <w:rPr>
          <w:lang w:val="es-CR"/>
        </w:rPr>
        <w:t>Perfil farmacocinético de las diferentes insulinas y análogos disponibles hoy en día</w:t>
      </w:r>
    </w:p>
    <w:p>
      <w:pPr>
        <w:pStyle w:val="Normal"/>
        <w:numPr>
          <w:ilvl w:val="0"/>
          <w:numId w:val="10"/>
        </w:numPr>
        <w:jc w:val="both"/>
        <w:rPr>
          <w:lang w:val="es-CR"/>
        </w:rPr>
      </w:pPr>
      <w:r>
        <w:rPr>
          <w:lang w:val="es-CR"/>
        </w:rPr>
        <w:t>Esquemas de tratamiento disponibles de insulinoterapia</w:t>
      </w:r>
    </w:p>
    <w:p>
      <w:pPr>
        <w:pStyle w:val="Normal"/>
        <w:numPr>
          <w:ilvl w:val="0"/>
          <w:numId w:val="10"/>
        </w:numPr>
        <w:jc w:val="both"/>
        <w:rPr>
          <w:lang w:val="es-CR"/>
        </w:rPr>
      </w:pPr>
      <w:r>
        <w:rPr>
          <w:lang w:val="es-CR"/>
        </w:rPr>
        <w:t>Cálculo de un esquema inicial de tratamiento con insulina</w:t>
      </w:r>
    </w:p>
    <w:p>
      <w:pPr>
        <w:pStyle w:val="Normal"/>
        <w:numPr>
          <w:ilvl w:val="0"/>
          <w:numId w:val="10"/>
        </w:numPr>
        <w:jc w:val="both"/>
        <w:rPr>
          <w:lang w:val="es-CR"/>
        </w:rPr>
      </w:pPr>
      <w:r>
        <w:rPr>
          <w:lang w:val="es-CR"/>
        </w:rPr>
        <w:t>Ajuste de la dosis de insulina según perfiles glicémicos</w:t>
      </w:r>
    </w:p>
    <w:p>
      <w:pPr>
        <w:pStyle w:val="Normal"/>
        <w:rPr>
          <w:lang w:val="es-CR"/>
        </w:rPr>
      </w:pPr>
      <w:r>
        <w:rPr>
          <w:lang w:val="es-CR"/>
        </w:rPr>
      </w:r>
    </w:p>
    <w:p>
      <w:pPr>
        <w:pStyle w:val="Normal"/>
        <w:rPr>
          <w:lang w:val="es-CR"/>
        </w:rPr>
      </w:pPr>
      <w:r>
        <w:rPr>
          <w:lang w:val="es-CR"/>
        </w:rPr>
      </w:r>
    </w:p>
    <w:p>
      <w:pPr>
        <w:pStyle w:val="Normal"/>
        <w:rPr>
          <w:lang w:val="es-CR"/>
        </w:rPr>
      </w:pPr>
      <w:r>
        <w:rPr>
          <w:lang w:val="es-CR"/>
        </w:rPr>
      </w:r>
    </w:p>
    <w:p>
      <w:pPr>
        <w:pStyle w:val="Normal"/>
        <w:rPr>
          <w:lang w:val="es-CR"/>
        </w:rPr>
      </w:pPr>
      <w:r>
        <w:rPr>
          <w:lang w:val="es-CR"/>
        </w:rPr>
      </w:r>
    </w:p>
    <w:p>
      <w:pPr>
        <w:pStyle w:val="Normal"/>
        <w:rPr>
          <w:lang w:val="es-CR"/>
        </w:rPr>
      </w:pPr>
      <w:r>
        <w:rPr>
          <w:lang w:val="es-CR"/>
        </w:rPr>
      </w:r>
    </w:p>
    <w:p>
      <w:pPr>
        <w:pStyle w:val="Normal"/>
        <w:rPr>
          <w:lang w:val="es-CR"/>
        </w:rPr>
      </w:pPr>
      <w:r>
        <w:rPr>
          <w:lang w:val="es-CR"/>
        </w:rPr>
      </w:r>
    </w:p>
    <w:p>
      <w:pPr>
        <w:pStyle w:val="Normal"/>
        <w:ind w:left="708" w:hanging="0"/>
        <w:jc w:val="both"/>
        <w:rPr/>
      </w:pPr>
      <w:r>
        <w:rPr/>
        <w:t xml:space="preserve">2.- </w:t>
      </w:r>
      <w:r>
        <w:rPr>
          <w:u w:val="single"/>
        </w:rPr>
        <w:t>ANTIDIABÉTICOS ORALES</w:t>
      </w:r>
      <w:r>
        <w:rPr/>
        <w:t>:</w:t>
      </w:r>
    </w:p>
    <w:p>
      <w:pPr>
        <w:pStyle w:val="Normal"/>
        <w:jc w:val="both"/>
        <w:rPr/>
      </w:pPr>
      <w:r>
        <w:rPr/>
      </w:r>
    </w:p>
    <w:p>
      <w:pPr>
        <w:pStyle w:val="Normal"/>
        <w:numPr>
          <w:ilvl w:val="0"/>
          <w:numId w:val="11"/>
        </w:numPr>
        <w:jc w:val="both"/>
        <w:rPr>
          <w:lang w:val="es-CR"/>
        </w:rPr>
      </w:pPr>
      <w:r>
        <w:rPr>
          <w:lang w:val="es-CR"/>
        </w:rPr>
        <w:t>Eficacia clínica de los agentes antidiabéticos orales:  sulfonilureas, meglitinides, biguanidas, tiazolidinedionas e inhibidores de la alfa glucosidasa</w:t>
      </w:r>
    </w:p>
    <w:p>
      <w:pPr>
        <w:pStyle w:val="Normal"/>
        <w:numPr>
          <w:ilvl w:val="0"/>
          <w:numId w:val="11"/>
        </w:numPr>
        <w:jc w:val="both"/>
        <w:rPr>
          <w:lang w:val="es-CR"/>
        </w:rPr>
      </w:pPr>
      <w:r>
        <w:rPr>
          <w:lang w:val="es-CR"/>
        </w:rPr>
        <w:t xml:space="preserve">Indicaciones y contraindicaciones de cada uno de estos agentes </w:t>
      </w:r>
    </w:p>
    <w:p>
      <w:pPr>
        <w:pStyle w:val="Normal"/>
        <w:numPr>
          <w:ilvl w:val="0"/>
          <w:numId w:val="11"/>
        </w:numPr>
        <w:jc w:val="both"/>
        <w:rPr>
          <w:lang w:val="es-CR"/>
        </w:rPr>
      </w:pPr>
      <w:r>
        <w:rPr>
          <w:lang w:val="es-CR"/>
        </w:rPr>
        <w:t>Cómo hacer la selección de agentes en pacientes diabéticos</w:t>
      </w:r>
    </w:p>
    <w:p>
      <w:pPr>
        <w:pStyle w:val="Normal"/>
        <w:numPr>
          <w:ilvl w:val="0"/>
          <w:numId w:val="11"/>
        </w:numPr>
        <w:jc w:val="both"/>
        <w:rPr>
          <w:lang w:val="es-CR"/>
        </w:rPr>
      </w:pPr>
      <w:r>
        <w:rPr>
          <w:lang w:val="es-CR"/>
        </w:rPr>
        <w:t>Diferentes esquemas de terapia combinada entre diferentes antidiabéticos orales y con insulinas</w:t>
      </w:r>
    </w:p>
    <w:p>
      <w:pPr>
        <w:pStyle w:val="Normal"/>
        <w:rPr>
          <w:lang w:val="es-CR"/>
        </w:rPr>
      </w:pPr>
      <w:r>
        <w:rPr>
          <w:lang w:val="es-CR"/>
        </w:rPr>
      </w:r>
    </w:p>
    <w:p>
      <w:pPr>
        <w:pStyle w:val="Normal"/>
        <w:rPr>
          <w:lang w:val="es-CR"/>
        </w:rPr>
      </w:pPr>
      <w:r>
        <w:rPr>
          <w:lang w:val="es-CR"/>
        </w:rPr>
      </w:r>
    </w:p>
    <w:p>
      <w:pPr>
        <w:pStyle w:val="Encabezado1"/>
        <w:jc w:val="both"/>
        <w:rPr/>
      </w:pPr>
      <w:r>
        <w:rPr/>
        <w:t>VII</w:t>
        <w:tab/>
        <w:t>COMPLICACIONES AGUDAS Y CRÓNICAS DE LA DIABETES OBESIDAD,  SÍNDROME METABÓLICO Y PREVENCIÓN DE DIABETES</w:t>
      </w:r>
    </w:p>
    <w:p>
      <w:pPr>
        <w:pStyle w:val="Normal"/>
        <w:ind w:left="705" w:hanging="0"/>
        <w:rPr>
          <w:b/>
          <w:b/>
          <w:bCs/>
          <w:lang w:val="es-CR"/>
        </w:rPr>
      </w:pPr>
      <w:r>
        <w:rPr>
          <w:b/>
          <w:bCs/>
          <w:lang w:val="es-CR"/>
        </w:rPr>
      </w:r>
    </w:p>
    <w:p>
      <w:pPr>
        <w:pStyle w:val="Normal"/>
        <w:rPr>
          <w:lang w:val="es-CR"/>
        </w:rPr>
      </w:pPr>
      <w:r>
        <w:rPr>
          <w:lang w:val="es-CR"/>
        </w:rPr>
        <w:tab/>
        <w:t xml:space="preserve">1.- </w:t>
      </w:r>
      <w:r>
        <w:rPr>
          <w:u w:val="single"/>
          <w:lang w:val="es-CR"/>
        </w:rPr>
        <w:t>COMPLICACIONES AGUDAS DE LA DIABETES</w:t>
      </w:r>
      <w:r>
        <w:rPr>
          <w:lang w:val="es-CR"/>
        </w:rPr>
        <w:t>:</w:t>
      </w:r>
    </w:p>
    <w:p>
      <w:pPr>
        <w:pStyle w:val="Normal"/>
        <w:rPr>
          <w:lang w:val="es-CR"/>
        </w:rPr>
      </w:pPr>
      <w:r>
        <w:rPr>
          <w:lang w:val="es-CR"/>
        </w:rPr>
      </w:r>
    </w:p>
    <w:p>
      <w:pPr>
        <w:pStyle w:val="Normal"/>
        <w:numPr>
          <w:ilvl w:val="0"/>
          <w:numId w:val="12"/>
        </w:numPr>
        <w:jc w:val="both"/>
        <w:rPr>
          <w:lang w:val="es-CR"/>
        </w:rPr>
      </w:pPr>
      <w:r>
        <w:rPr>
          <w:lang w:val="es-CR"/>
        </w:rPr>
        <w:t>Diferencias entre cetoacidosis diabética y estado hiperosmolar en cuanto a fisiopatología y déficit de líquidos y electrolitos</w:t>
      </w:r>
    </w:p>
    <w:p>
      <w:pPr>
        <w:pStyle w:val="Normal"/>
        <w:numPr>
          <w:ilvl w:val="0"/>
          <w:numId w:val="12"/>
        </w:numPr>
        <w:jc w:val="both"/>
        <w:rPr>
          <w:lang w:val="es-CR"/>
        </w:rPr>
      </w:pPr>
      <w:r>
        <w:rPr>
          <w:lang w:val="es-CR"/>
        </w:rPr>
        <w:t>Manejo de la cetoacidosis diabética y estado hiperosmolar en cuanto a requerimientos y vía de administración de insulina, líquidos y electrolitos</w:t>
      </w:r>
    </w:p>
    <w:p>
      <w:pPr>
        <w:pStyle w:val="Normal"/>
        <w:numPr>
          <w:ilvl w:val="0"/>
          <w:numId w:val="12"/>
        </w:numPr>
        <w:jc w:val="both"/>
        <w:rPr>
          <w:lang w:val="es-CR"/>
        </w:rPr>
      </w:pPr>
      <w:r>
        <w:rPr>
          <w:lang w:val="es-CR"/>
        </w:rPr>
        <w:t>Manejo de la descompensación hipoglicémica por insulina y sus diferencias de la producida  por los hipoglicemiantes orales</w:t>
      </w:r>
    </w:p>
    <w:p>
      <w:pPr>
        <w:pStyle w:val="Normal"/>
        <w:ind w:left="1063" w:hanging="0"/>
        <w:rPr>
          <w:lang w:val="es-CR"/>
        </w:rPr>
      </w:pPr>
      <w:r>
        <w:rPr>
          <w:lang w:val="es-CR"/>
        </w:rPr>
      </w:r>
    </w:p>
    <w:p>
      <w:pPr>
        <w:pStyle w:val="Normal"/>
        <w:ind w:left="708" w:hanging="0"/>
        <w:rPr/>
      </w:pPr>
      <w:r>
        <w:rPr/>
        <w:t xml:space="preserve">2.- </w:t>
      </w:r>
      <w:r>
        <w:rPr>
          <w:u w:val="single"/>
        </w:rPr>
        <w:t>COMPLICACIONES CRÓNICAS DE DIABETES</w:t>
      </w:r>
      <w:r>
        <w:rPr/>
        <w:t>:</w:t>
      </w:r>
    </w:p>
    <w:p>
      <w:pPr>
        <w:pStyle w:val="Normal"/>
        <w:rPr/>
      </w:pPr>
      <w:r>
        <w:rPr/>
      </w:r>
    </w:p>
    <w:p>
      <w:pPr>
        <w:pStyle w:val="Normal"/>
        <w:numPr>
          <w:ilvl w:val="0"/>
          <w:numId w:val="13"/>
        </w:numPr>
        <w:jc w:val="both"/>
        <w:rPr>
          <w:lang w:val="es-CR"/>
        </w:rPr>
      </w:pPr>
      <w:r>
        <w:rPr>
          <w:lang w:val="es-CR"/>
        </w:rPr>
        <w:t>Manifestación clínica de las complicaciones crónicas más frecuentes de la diabetes:  el retinopatía, nefropatía, neuropatía, enfermedad arterial periférica, enfermedad macrovascular</w:t>
      </w:r>
    </w:p>
    <w:p>
      <w:pPr>
        <w:pStyle w:val="Normal"/>
        <w:numPr>
          <w:ilvl w:val="0"/>
          <w:numId w:val="13"/>
        </w:numPr>
        <w:jc w:val="both"/>
        <w:rPr>
          <w:lang w:val="es-CR"/>
        </w:rPr>
      </w:pPr>
      <w:r>
        <w:rPr>
          <w:lang w:val="es-CR"/>
        </w:rPr>
        <w:t>Estrategias de prevención primaria y secundaria de la nefropatía diabética</w:t>
      </w:r>
    </w:p>
    <w:p>
      <w:pPr>
        <w:pStyle w:val="Normal"/>
        <w:numPr>
          <w:ilvl w:val="0"/>
          <w:numId w:val="13"/>
        </w:numPr>
        <w:jc w:val="both"/>
        <w:rPr>
          <w:lang w:val="es-CR"/>
        </w:rPr>
      </w:pPr>
      <w:r>
        <w:rPr>
          <w:lang w:val="es-CR"/>
        </w:rPr>
        <w:t>Opciones terapéuticas medicamentosas para manejo de retinopatía, neuropatía y enfermedad arterial periférica</w:t>
      </w:r>
    </w:p>
    <w:p>
      <w:pPr>
        <w:pStyle w:val="Normal"/>
        <w:numPr>
          <w:ilvl w:val="0"/>
          <w:numId w:val="13"/>
        </w:numPr>
        <w:jc w:val="both"/>
        <w:rPr>
          <w:lang w:val="es-CR"/>
        </w:rPr>
      </w:pPr>
      <w:r>
        <w:rPr>
          <w:lang w:val="es-CR"/>
        </w:rPr>
        <w:t>Estrategias con fármacos para reducción de riesgo cardiovascular (manejo de hipertensión, dislipidemia, uso de antiagregantes plaquetarios y metas de tratamiento)</w:t>
      </w:r>
    </w:p>
    <w:p>
      <w:pPr>
        <w:pStyle w:val="Normal"/>
        <w:rPr>
          <w:lang w:val="es-CR"/>
        </w:rPr>
      </w:pPr>
      <w:r>
        <w:rPr>
          <w:lang w:val="es-CR"/>
        </w:rPr>
      </w:r>
    </w:p>
    <w:p>
      <w:pPr>
        <w:pStyle w:val="Normal"/>
        <w:ind w:left="708" w:hanging="0"/>
        <w:rPr>
          <w:lang w:val="es-CR"/>
        </w:rPr>
      </w:pPr>
      <w:r>
        <w:rPr>
          <w:lang w:val="es-CR"/>
        </w:rPr>
        <w:t xml:space="preserve">3.- </w:t>
      </w:r>
      <w:r>
        <w:rPr>
          <w:u w:val="single"/>
          <w:lang w:val="es-CR"/>
        </w:rPr>
        <w:t xml:space="preserve">OBESIDAD, SÍNDROME METABÓLICO Y PREVENCIÓN DE </w:t>
      </w:r>
      <w:r>
        <w:rPr>
          <w:lang w:val="es-CR"/>
        </w:rPr>
        <w:t xml:space="preserve">                                 </w:t>
      </w:r>
    </w:p>
    <w:p>
      <w:pPr>
        <w:pStyle w:val="Normal"/>
        <w:ind w:firstLine="708"/>
        <w:rPr/>
      </w:pPr>
      <w:r>
        <w:rPr>
          <w:lang w:val="es-CR"/>
        </w:rPr>
        <w:t xml:space="preserve">     </w:t>
      </w:r>
      <w:r>
        <w:rPr>
          <w:u w:val="single"/>
        </w:rPr>
        <w:t>DIABETES</w:t>
      </w:r>
      <w:r>
        <w:rPr/>
        <w:t>:</w:t>
      </w:r>
    </w:p>
    <w:p>
      <w:pPr>
        <w:pStyle w:val="Normal"/>
        <w:ind w:firstLine="708"/>
        <w:rPr/>
      </w:pPr>
      <w:r>
        <w:rPr/>
      </w:r>
    </w:p>
    <w:p>
      <w:pPr>
        <w:pStyle w:val="Normal"/>
        <w:numPr>
          <w:ilvl w:val="0"/>
          <w:numId w:val="14"/>
        </w:numPr>
        <w:jc w:val="both"/>
        <w:rPr>
          <w:lang w:val="es-CR"/>
        </w:rPr>
      </w:pPr>
      <w:r>
        <w:rPr>
          <w:lang w:val="es-CR"/>
        </w:rPr>
        <w:t>Relación entre obesidad, síndrome metabólico y diabetes mellitus</w:t>
      </w:r>
    </w:p>
    <w:p>
      <w:pPr>
        <w:pStyle w:val="Normal"/>
        <w:numPr>
          <w:ilvl w:val="0"/>
          <w:numId w:val="14"/>
        </w:numPr>
        <w:jc w:val="both"/>
        <w:rPr/>
      </w:pPr>
      <w:r>
        <w:rPr/>
        <w:t>Definición de síndrome metabólico</w:t>
      </w:r>
    </w:p>
    <w:p>
      <w:pPr>
        <w:pStyle w:val="Normal"/>
        <w:numPr>
          <w:ilvl w:val="0"/>
          <w:numId w:val="14"/>
        </w:numPr>
        <w:jc w:val="both"/>
        <w:rPr>
          <w:lang w:val="es-CR"/>
        </w:rPr>
      </w:pPr>
      <w:r>
        <w:rPr>
          <w:lang w:val="es-CR"/>
        </w:rPr>
        <w:t>Alternativas terapéuticas para tratamiento de obesidad que reducen la incidencia de diabetes mellitus</w:t>
      </w:r>
    </w:p>
    <w:p>
      <w:pPr>
        <w:pStyle w:val="Normal"/>
        <w:numPr>
          <w:ilvl w:val="0"/>
          <w:numId w:val="14"/>
        </w:numPr>
        <w:jc w:val="both"/>
        <w:rPr>
          <w:lang w:val="es-CR"/>
        </w:rPr>
      </w:pPr>
      <w:r>
        <w:rPr>
          <w:lang w:val="es-CR"/>
        </w:rPr>
        <w:t>Tratamiento de síndrome metabólico y su efecto en progresión a diabetes mellitus:  metformina, acarbosa, IECA, estatinas</w:t>
      </w:r>
    </w:p>
    <w:p>
      <w:pPr>
        <w:pStyle w:val="Normal"/>
        <w:rPr>
          <w:lang w:val="es-CR"/>
        </w:rPr>
      </w:pPr>
      <w:r>
        <w:rPr>
          <w:lang w:val="es-CR"/>
        </w:rPr>
      </w:r>
    </w:p>
    <w:p>
      <w:pPr>
        <w:pStyle w:val="Encabezado1"/>
        <w:rPr/>
      </w:pPr>
      <w:r>
        <w:rPr/>
        <w:t>VIII</w:t>
        <w:tab/>
        <w:t>TRATAMIENTO DE ENFERMEDAD TIROIDEA</w:t>
      </w:r>
    </w:p>
    <w:p>
      <w:pPr>
        <w:pStyle w:val="Encabezado1"/>
        <w:ind w:firstLine="708"/>
        <w:rPr/>
      </w:pPr>
      <w:r>
        <w:rPr/>
        <w:t>HIPOTIROIDISMO  E HIPERTIROIDISMO</w:t>
      </w:r>
    </w:p>
    <w:p>
      <w:pPr>
        <w:pStyle w:val="Encabezado1"/>
        <w:ind w:firstLine="708"/>
        <w:rPr/>
      </w:pPr>
      <w:r>
        <w:rPr/>
        <w:t>MANEJO DE DISLIPIDEMIAS</w:t>
      </w:r>
    </w:p>
    <w:p>
      <w:pPr>
        <w:pStyle w:val="Normal"/>
        <w:rPr>
          <w:b/>
          <w:b/>
          <w:bCs/>
          <w:lang w:val="es-CR"/>
        </w:rPr>
      </w:pPr>
      <w:r>
        <w:rPr>
          <w:b/>
          <w:bCs/>
          <w:lang w:val="es-CR"/>
        </w:rPr>
      </w:r>
    </w:p>
    <w:p>
      <w:pPr>
        <w:pStyle w:val="Normal"/>
        <w:ind w:firstLine="708"/>
        <w:rPr>
          <w:lang w:val="es-CR"/>
        </w:rPr>
      </w:pPr>
      <w:r>
        <w:rPr>
          <w:lang w:val="es-CR"/>
        </w:rPr>
        <w:t xml:space="preserve">1.- </w:t>
      </w:r>
      <w:r>
        <w:rPr>
          <w:u w:val="single"/>
          <w:lang w:val="es-CR"/>
        </w:rPr>
        <w:t>DROGAS Y TIROIDES</w:t>
      </w:r>
      <w:r>
        <w:rPr>
          <w:lang w:val="es-CR"/>
        </w:rPr>
        <w:t>:</w:t>
      </w:r>
    </w:p>
    <w:p>
      <w:pPr>
        <w:pStyle w:val="Normal"/>
        <w:rPr>
          <w:lang w:val="es-CR"/>
        </w:rPr>
      </w:pPr>
      <w:r>
        <w:rPr>
          <w:lang w:val="es-CR"/>
        </w:rPr>
      </w:r>
    </w:p>
    <w:p>
      <w:pPr>
        <w:pStyle w:val="Normal"/>
        <w:numPr>
          <w:ilvl w:val="0"/>
          <w:numId w:val="18"/>
        </w:numPr>
        <w:jc w:val="both"/>
        <w:rPr>
          <w:lang w:val="es-CR"/>
        </w:rPr>
      </w:pPr>
      <w:r>
        <w:rPr>
          <w:lang w:val="es-CR"/>
        </w:rPr>
        <w:t>Mecanismos por medio del cual diferentes medicamentos pueden interferir en la función tiroidea</w:t>
      </w:r>
    </w:p>
    <w:p>
      <w:pPr>
        <w:pStyle w:val="Normal"/>
        <w:numPr>
          <w:ilvl w:val="0"/>
          <w:numId w:val="18"/>
        </w:numPr>
        <w:jc w:val="both"/>
        <w:rPr>
          <w:lang w:val="es-CR"/>
        </w:rPr>
      </w:pPr>
      <w:r>
        <w:rPr>
          <w:lang w:val="es-CR"/>
        </w:rPr>
        <w:t>Medicamentos más frecuentes que alteran la función tiroidea y sus mecanismos</w:t>
      </w:r>
    </w:p>
    <w:p>
      <w:pPr>
        <w:pStyle w:val="Normal"/>
        <w:numPr>
          <w:ilvl w:val="0"/>
          <w:numId w:val="18"/>
        </w:numPr>
        <w:jc w:val="both"/>
        <w:rPr>
          <w:lang w:val="es-CR"/>
        </w:rPr>
      </w:pPr>
      <w:r>
        <w:rPr>
          <w:lang w:val="es-CR"/>
        </w:rPr>
        <w:t>Medicamentos que producen hipertiroidismo e hipotiroidismo</w:t>
      </w:r>
    </w:p>
    <w:p>
      <w:pPr>
        <w:pStyle w:val="Normal"/>
        <w:numPr>
          <w:ilvl w:val="0"/>
          <w:numId w:val="18"/>
        </w:numPr>
        <w:jc w:val="both"/>
        <w:rPr>
          <w:lang w:val="es-CR"/>
        </w:rPr>
      </w:pPr>
      <w:r>
        <w:rPr>
          <w:lang w:val="es-CR"/>
        </w:rPr>
        <w:t>Cambios farmacocinéticos y farmacodinámicos que se presentan tanto en hipertiroidismo como hipotiroidismo que pueden llevar a trastornos en la respuesta medicamentosa</w:t>
      </w:r>
    </w:p>
    <w:p>
      <w:pPr>
        <w:pStyle w:val="Normal"/>
        <w:jc w:val="both"/>
        <w:rPr>
          <w:lang w:val="es-CR"/>
        </w:rPr>
      </w:pPr>
      <w:r>
        <w:rPr>
          <w:lang w:val="es-CR"/>
        </w:rPr>
      </w:r>
    </w:p>
    <w:p>
      <w:pPr>
        <w:pStyle w:val="Normal"/>
        <w:rPr/>
      </w:pPr>
      <w:r>
        <w:rPr>
          <w:lang w:val="es-CR"/>
        </w:rPr>
        <w:tab/>
      </w:r>
      <w:r>
        <w:rPr/>
        <w:t xml:space="preserve">2.- </w:t>
      </w:r>
      <w:r>
        <w:rPr>
          <w:u w:val="single"/>
        </w:rPr>
        <w:t>HIPERTIROIDISMO</w:t>
      </w:r>
      <w:r>
        <w:rPr/>
        <w:t>:</w:t>
      </w:r>
    </w:p>
    <w:p>
      <w:pPr>
        <w:pStyle w:val="Normal"/>
        <w:rPr/>
      </w:pPr>
      <w:r>
        <w:rPr/>
      </w:r>
    </w:p>
    <w:p>
      <w:pPr>
        <w:pStyle w:val="Normal"/>
        <w:numPr>
          <w:ilvl w:val="0"/>
          <w:numId w:val="15"/>
        </w:numPr>
        <w:jc w:val="both"/>
        <w:rPr/>
      </w:pPr>
      <w:r>
        <w:rPr/>
        <w:t>Etiología de hipertiroidismo</w:t>
      </w:r>
    </w:p>
    <w:p>
      <w:pPr>
        <w:pStyle w:val="Normal"/>
        <w:numPr>
          <w:ilvl w:val="0"/>
          <w:numId w:val="15"/>
        </w:numPr>
        <w:jc w:val="both"/>
        <w:rPr/>
      </w:pPr>
      <w:r>
        <w:rPr>
          <w:lang w:val="es-CR"/>
        </w:rPr>
        <w:t xml:space="preserve">Alternativas que existen para tratamiento de hipertiroidismo.  </w:t>
      </w:r>
      <w:r>
        <w:rPr/>
        <w:t>Tionamidas, yodo radioactivo, cirugía</w:t>
      </w:r>
    </w:p>
    <w:p>
      <w:pPr>
        <w:pStyle w:val="Normal"/>
        <w:numPr>
          <w:ilvl w:val="0"/>
          <w:numId w:val="15"/>
        </w:numPr>
        <w:jc w:val="both"/>
        <w:rPr>
          <w:lang w:val="es-CR"/>
        </w:rPr>
      </w:pPr>
      <w:r>
        <w:rPr>
          <w:lang w:val="es-CR"/>
        </w:rPr>
        <w:t>Indicación en situaciones especiales como niños, embarazo y lactancia</w:t>
      </w:r>
    </w:p>
    <w:p>
      <w:pPr>
        <w:pStyle w:val="Normal"/>
        <w:numPr>
          <w:ilvl w:val="0"/>
          <w:numId w:val="15"/>
        </w:numPr>
        <w:jc w:val="both"/>
        <w:rPr>
          <w:lang w:val="es-CR"/>
        </w:rPr>
      </w:pPr>
      <w:r>
        <w:rPr>
          <w:lang w:val="es-CR"/>
        </w:rPr>
        <w:t>Terapias coadyuvantes de tratamiento para manejo de síntomas:  glucocorticoides (oftalmopatía), beta bloqueadores (cardiovascular)</w:t>
      </w:r>
    </w:p>
    <w:p>
      <w:pPr>
        <w:pStyle w:val="Normal"/>
        <w:rPr>
          <w:lang w:val="es-CR"/>
        </w:rPr>
      </w:pPr>
      <w:r>
        <w:rPr>
          <w:lang w:val="es-CR"/>
        </w:rPr>
      </w:r>
    </w:p>
    <w:p>
      <w:pPr>
        <w:pStyle w:val="Normal"/>
        <w:ind w:left="708" w:hanging="0"/>
        <w:rPr/>
      </w:pPr>
      <w:r>
        <w:rPr/>
        <w:t xml:space="preserve">3.- </w:t>
      </w:r>
      <w:r>
        <w:rPr>
          <w:u w:val="single"/>
        </w:rPr>
        <w:t>HIPOTIROIDISMO</w:t>
      </w:r>
      <w:r>
        <w:rPr/>
        <w:t>:</w:t>
      </w:r>
    </w:p>
    <w:p>
      <w:pPr>
        <w:pStyle w:val="Normal"/>
        <w:ind w:left="708" w:hanging="0"/>
        <w:rPr/>
      </w:pPr>
      <w:r>
        <w:rPr/>
      </w:r>
    </w:p>
    <w:p>
      <w:pPr>
        <w:pStyle w:val="Normal"/>
        <w:numPr>
          <w:ilvl w:val="0"/>
          <w:numId w:val="16"/>
        </w:numPr>
        <w:jc w:val="both"/>
        <w:rPr>
          <w:lang w:val="es-CR"/>
        </w:rPr>
      </w:pPr>
      <w:r>
        <w:rPr>
          <w:lang w:val="es-CR"/>
        </w:rPr>
        <w:t>Preparados que existen para su tratamiento: levotiroxina, triyodotironina o combinación</w:t>
      </w:r>
    </w:p>
    <w:p>
      <w:pPr>
        <w:pStyle w:val="Normal"/>
        <w:numPr>
          <w:ilvl w:val="0"/>
          <w:numId w:val="16"/>
        </w:numPr>
        <w:jc w:val="both"/>
        <w:rPr>
          <w:lang w:val="es-CR"/>
        </w:rPr>
      </w:pPr>
      <w:r>
        <w:rPr>
          <w:lang w:val="es-CR"/>
        </w:rPr>
        <w:t>Meta de tratamiento del paciente con hipotiroidismo</w:t>
      </w:r>
    </w:p>
    <w:p>
      <w:pPr>
        <w:pStyle w:val="Normal"/>
        <w:numPr>
          <w:ilvl w:val="0"/>
          <w:numId w:val="16"/>
        </w:numPr>
        <w:jc w:val="both"/>
        <w:rPr>
          <w:lang w:val="es-CR"/>
        </w:rPr>
      </w:pPr>
      <w:r>
        <w:rPr>
          <w:lang w:val="es-CR"/>
        </w:rPr>
        <w:t>Manejo en situaciones especiales como embarazo y lactancia</w:t>
      </w:r>
    </w:p>
    <w:p>
      <w:pPr>
        <w:pStyle w:val="Normal"/>
        <w:numPr>
          <w:ilvl w:val="0"/>
          <w:numId w:val="16"/>
        </w:numPr>
        <w:jc w:val="both"/>
        <w:rPr>
          <w:lang w:val="es-CR"/>
        </w:rPr>
      </w:pPr>
      <w:r>
        <w:rPr>
          <w:lang w:val="es-CR"/>
        </w:rPr>
        <w:t>Efectos adversos del tratamiento con levotiroxina en exceso o en situaciones donde no está indicado</w:t>
      </w:r>
    </w:p>
    <w:p>
      <w:pPr>
        <w:pStyle w:val="Normal"/>
        <w:jc w:val="both"/>
        <w:rPr>
          <w:lang w:val="es-CR"/>
        </w:rPr>
      </w:pPr>
      <w:r>
        <w:rPr>
          <w:lang w:val="es-CR"/>
        </w:rPr>
      </w:r>
    </w:p>
    <w:p>
      <w:pPr>
        <w:pStyle w:val="Normal"/>
        <w:ind w:left="708" w:hanging="0"/>
        <w:rPr/>
      </w:pPr>
      <w:r>
        <w:rPr/>
        <w:t xml:space="preserve">4.- </w:t>
      </w:r>
      <w:r>
        <w:rPr>
          <w:u w:val="single"/>
        </w:rPr>
        <w:t>MANEJO DE DISLIPIDEMIAS</w:t>
      </w:r>
      <w:r>
        <w:rPr/>
        <w:t>:</w:t>
      </w:r>
    </w:p>
    <w:p>
      <w:pPr>
        <w:pStyle w:val="Normal"/>
        <w:ind w:left="708" w:hanging="0"/>
        <w:rPr/>
      </w:pPr>
      <w:r>
        <w:rPr/>
      </w:r>
    </w:p>
    <w:p>
      <w:pPr>
        <w:pStyle w:val="Normal"/>
        <w:numPr>
          <w:ilvl w:val="0"/>
          <w:numId w:val="17"/>
        </w:numPr>
        <w:jc w:val="both"/>
        <w:rPr>
          <w:lang w:val="es-CR"/>
        </w:rPr>
      </w:pPr>
      <w:r>
        <w:rPr>
          <w:lang w:val="es-CR"/>
        </w:rPr>
        <w:t>Metas de tratamiento de dislipidemias estratificado según riesgo cardiovascular</w:t>
      </w:r>
    </w:p>
    <w:p>
      <w:pPr>
        <w:pStyle w:val="Normal"/>
        <w:numPr>
          <w:ilvl w:val="0"/>
          <w:numId w:val="17"/>
        </w:numPr>
        <w:jc w:val="both"/>
        <w:rPr>
          <w:lang w:val="es-CR"/>
        </w:rPr>
      </w:pPr>
      <w:r>
        <w:rPr>
          <w:lang w:val="es-CR"/>
        </w:rPr>
        <w:t>Efectividad de estatinas, resinas, fibratos, ácido nicotínico e inhibidores de absorción de colesterol para reducción de niveles de LDL triglicéridos y aumento de HDL</w:t>
      </w:r>
    </w:p>
    <w:p>
      <w:pPr>
        <w:pStyle w:val="Normal"/>
        <w:numPr>
          <w:ilvl w:val="0"/>
          <w:numId w:val="6"/>
        </w:numPr>
        <w:jc w:val="both"/>
        <w:rPr>
          <w:lang w:val="es-CR"/>
        </w:rPr>
      </w:pPr>
      <w:r>
        <w:rPr>
          <w:lang w:val="es-CR"/>
        </w:rPr>
        <w:t>Criterios de selección del hipolipemiante según el trastorno de lípidos que tenga el paciente</w:t>
      </w:r>
    </w:p>
    <w:p>
      <w:pPr>
        <w:pStyle w:val="Normal"/>
        <w:numPr>
          <w:ilvl w:val="0"/>
          <w:numId w:val="6"/>
        </w:numPr>
        <w:jc w:val="both"/>
        <w:rPr>
          <w:lang w:val="es-CR"/>
        </w:rPr>
      </w:pPr>
      <w:r>
        <w:rPr>
          <w:lang w:val="es-CR"/>
        </w:rPr>
        <w:t>Ventajas y desventajas de las diferentes estatinas que van a influenciar la escogencia de ésta</w:t>
      </w:r>
    </w:p>
    <w:p>
      <w:pPr>
        <w:pStyle w:val="Normal"/>
        <w:numPr>
          <w:ilvl w:val="0"/>
          <w:numId w:val="6"/>
        </w:numPr>
        <w:jc w:val="both"/>
        <w:rPr>
          <w:lang w:val="es-CR"/>
        </w:rPr>
      </w:pPr>
      <w:r>
        <w:rPr>
          <w:lang w:val="es-CR"/>
        </w:rPr>
        <w:t>Esquemas combinados de tratamiento en dislipidemias</w:t>
      </w:r>
    </w:p>
    <w:p>
      <w:pPr>
        <w:pStyle w:val="Normal"/>
        <w:ind w:left="1063" w:hanging="0"/>
        <w:jc w:val="both"/>
        <w:rPr>
          <w:lang w:val="es-CR"/>
        </w:rPr>
      </w:pPr>
      <w:r>
        <w:rPr>
          <w:lang w:val="es-CR"/>
        </w:rPr>
      </w:r>
    </w:p>
    <w:p>
      <w:pPr>
        <w:pStyle w:val="Normal"/>
        <w:ind w:left="1063" w:hanging="0"/>
        <w:rPr>
          <w:lang w:val="es-CR"/>
        </w:rPr>
      </w:pPr>
      <w:r>
        <w:rPr>
          <w:lang w:val="es-CR"/>
        </w:rPr>
      </w:r>
    </w:p>
    <w:p>
      <w:pPr>
        <w:pStyle w:val="Normal"/>
        <w:ind w:left="1063" w:hanging="0"/>
        <w:rPr>
          <w:lang w:val="es-CR"/>
        </w:rPr>
      </w:pPr>
      <w:r>
        <w:rPr>
          <w:lang w:val="es-CR"/>
        </w:rPr>
      </w:r>
    </w:p>
    <w:p>
      <w:pPr>
        <w:pStyle w:val="Normal"/>
        <w:ind w:left="1063" w:hanging="0"/>
        <w:rPr>
          <w:lang w:val="es-CR"/>
        </w:rPr>
      </w:pPr>
      <w:r>
        <w:rPr>
          <w:lang w:val="es-CR"/>
        </w:rPr>
      </w:r>
    </w:p>
    <w:p>
      <w:pPr>
        <w:pStyle w:val="Normal"/>
        <w:ind w:left="1063" w:hanging="0"/>
        <w:rPr>
          <w:lang w:val="es-CR"/>
        </w:rPr>
      </w:pPr>
      <w:r>
        <w:rPr>
          <w:lang w:val="es-CR"/>
        </w:rPr>
      </w:r>
    </w:p>
    <w:p>
      <w:pPr>
        <w:pStyle w:val="Normal"/>
        <w:ind w:firstLine="708"/>
        <w:rPr/>
      </w:pPr>
      <w:r>
        <w:rPr/>
        <w:t xml:space="preserve">5.- </w:t>
      </w:r>
      <w:r>
        <w:rPr>
          <w:u w:val="single"/>
        </w:rPr>
        <w:t>OTRAS EMERGENCIAS ENDOCRINOLÓGICAS</w:t>
      </w:r>
      <w:r>
        <w:rPr/>
        <w:t>:</w:t>
      </w:r>
    </w:p>
    <w:p>
      <w:pPr>
        <w:pStyle w:val="Normal"/>
        <w:rPr/>
      </w:pPr>
      <w:r>
        <w:rPr/>
      </w:r>
    </w:p>
    <w:p>
      <w:pPr>
        <w:pStyle w:val="Normal"/>
        <w:numPr>
          <w:ilvl w:val="0"/>
          <w:numId w:val="7"/>
        </w:numPr>
        <w:jc w:val="both"/>
        <w:rPr>
          <w:lang w:val="es-CR"/>
        </w:rPr>
      </w:pPr>
      <w:r>
        <w:rPr>
          <w:lang w:val="es-CR"/>
        </w:rPr>
        <w:t>Tratamiento farmacológico disponible para crisis hipercalcémicas</w:t>
      </w:r>
    </w:p>
    <w:p>
      <w:pPr>
        <w:pStyle w:val="Normal"/>
        <w:numPr>
          <w:ilvl w:val="0"/>
          <w:numId w:val="7"/>
        </w:numPr>
        <w:jc w:val="both"/>
        <w:rPr/>
      </w:pPr>
      <w:r>
        <w:rPr/>
        <w:t>Tratamiento para crisis hipocalcémicas</w:t>
      </w:r>
    </w:p>
    <w:p>
      <w:pPr>
        <w:pStyle w:val="Normal"/>
        <w:numPr>
          <w:ilvl w:val="0"/>
          <w:numId w:val="7"/>
        </w:numPr>
        <w:jc w:val="both"/>
        <w:rPr>
          <w:lang w:val="es-CR"/>
        </w:rPr>
      </w:pPr>
      <w:r>
        <w:rPr>
          <w:lang w:val="es-CR"/>
        </w:rPr>
        <w:t>Identificar los síntomas y el tratamiento de las crisis addisonianas (insuficiencia suprarrenal aguda)</w:t>
      </w:r>
    </w:p>
    <w:p>
      <w:pPr>
        <w:pStyle w:val="Normal"/>
        <w:numPr>
          <w:ilvl w:val="0"/>
          <w:numId w:val="7"/>
        </w:numPr>
        <w:jc w:val="both"/>
        <w:rPr/>
      </w:pPr>
      <w:r>
        <w:rPr/>
        <w:t>Tratamiento de tormenta tiroidea</w:t>
      </w:r>
    </w:p>
    <w:p>
      <w:pPr>
        <w:pStyle w:val="Normal"/>
        <w:numPr>
          <w:ilvl w:val="0"/>
          <w:numId w:val="7"/>
        </w:numPr>
        <w:jc w:val="both"/>
        <w:rPr/>
      </w:pPr>
      <w:r>
        <w:rPr/>
        <w:t>Tratamiento del coma mixedematoso</w:t>
      </w:r>
    </w:p>
    <w:p>
      <w:pPr>
        <w:pStyle w:val="Normal"/>
        <w:jc w:val="both"/>
        <w:rPr/>
      </w:pPr>
      <w:r>
        <w:rPr/>
      </w:r>
    </w:p>
    <w:p>
      <w:pPr>
        <w:pStyle w:val="Normal"/>
        <w:rPr/>
      </w:pPr>
      <w:r>
        <w:rPr/>
      </w:r>
    </w:p>
    <w:p>
      <w:pPr>
        <w:pStyle w:val="Encabezado1"/>
        <w:rPr/>
      </w:pPr>
      <w:r>
        <w:rPr/>
        <w:t>IX</w:t>
        <w:tab/>
        <w:t xml:space="preserve">MANEJO DE ANEMIAS </w:t>
      </w:r>
    </w:p>
    <w:p>
      <w:pPr>
        <w:pStyle w:val="Encabezado1"/>
        <w:ind w:firstLine="708"/>
        <w:rPr/>
      </w:pPr>
      <w:r>
        <w:rPr/>
        <w:t>EFECTOS HEMATOLÓGICOS DE FÁRMACOS</w:t>
      </w:r>
    </w:p>
    <w:p>
      <w:pPr>
        <w:pStyle w:val="Normal"/>
        <w:rPr>
          <w:b/>
          <w:b/>
          <w:bCs/>
        </w:rPr>
      </w:pPr>
      <w:r>
        <w:rPr>
          <w:b/>
          <w:bCs/>
        </w:rPr>
      </w:r>
    </w:p>
    <w:p>
      <w:pPr>
        <w:pStyle w:val="Normal"/>
        <w:rPr>
          <w:lang w:val="es-CR"/>
        </w:rPr>
      </w:pPr>
      <w:r>
        <w:rPr>
          <w:lang w:val="es-CR"/>
        </w:rPr>
        <w:tab/>
        <w:t xml:space="preserve">1.- </w:t>
      </w:r>
      <w:r>
        <w:rPr>
          <w:u w:val="single"/>
          <w:lang w:val="es-CR"/>
        </w:rPr>
        <w:t>EFECTOS HEMATOLÓGICOS DE LOS FÁRMACOS</w:t>
      </w:r>
      <w:r>
        <w:rPr>
          <w:lang w:val="es-CR"/>
        </w:rPr>
        <w:t>:</w:t>
      </w:r>
    </w:p>
    <w:p>
      <w:pPr>
        <w:pStyle w:val="Normal"/>
        <w:rPr>
          <w:lang w:val="es-CR"/>
        </w:rPr>
      </w:pPr>
      <w:r>
        <w:rPr>
          <w:lang w:val="es-CR"/>
        </w:rPr>
      </w:r>
    </w:p>
    <w:p>
      <w:pPr>
        <w:pStyle w:val="Normal"/>
        <w:numPr>
          <w:ilvl w:val="0"/>
          <w:numId w:val="19"/>
        </w:numPr>
        <w:jc w:val="both"/>
        <w:rPr/>
      </w:pPr>
      <w:r>
        <w:rPr/>
        <w:t>Fisiopatología de la  hemopatías iatrogénicas</w:t>
      </w:r>
    </w:p>
    <w:p>
      <w:pPr>
        <w:pStyle w:val="Normal"/>
        <w:numPr>
          <w:ilvl w:val="0"/>
          <w:numId w:val="19"/>
        </w:numPr>
        <w:jc w:val="both"/>
        <w:rPr>
          <w:lang w:val="es-CR"/>
        </w:rPr>
      </w:pPr>
      <w:r>
        <w:rPr>
          <w:lang w:val="es-CR"/>
        </w:rPr>
        <w:t>Efectos de los diferentes agentes citotóxicos e inmunosupresores</w:t>
      </w:r>
    </w:p>
    <w:p>
      <w:pPr>
        <w:pStyle w:val="Normal"/>
        <w:numPr>
          <w:ilvl w:val="0"/>
          <w:numId w:val="19"/>
        </w:numPr>
        <w:jc w:val="both"/>
        <w:rPr>
          <w:lang w:val="es-CR"/>
        </w:rPr>
      </w:pPr>
      <w:r>
        <w:rPr>
          <w:lang w:val="es-CR"/>
        </w:rPr>
        <w:t>Fármacos para rescate de la médula ósea</w:t>
      </w:r>
    </w:p>
    <w:p>
      <w:pPr>
        <w:pStyle w:val="Normal"/>
        <w:numPr>
          <w:ilvl w:val="0"/>
          <w:numId w:val="19"/>
        </w:numPr>
        <w:jc w:val="both"/>
        <w:rPr>
          <w:lang w:val="es-CR"/>
        </w:rPr>
      </w:pPr>
      <w:r>
        <w:rPr>
          <w:lang w:val="es-CR"/>
        </w:rPr>
        <w:t>Efectos tóxicos específicos y mecanismos sobre las diferentes series</w:t>
      </w:r>
    </w:p>
    <w:p>
      <w:pPr>
        <w:pStyle w:val="Normal"/>
        <w:ind w:left="1063" w:hanging="0"/>
        <w:rPr>
          <w:lang w:val="es-CR"/>
        </w:rPr>
      </w:pPr>
      <w:r>
        <w:rPr>
          <w:lang w:val="es-CR"/>
        </w:rPr>
      </w:r>
    </w:p>
    <w:p>
      <w:pPr>
        <w:pStyle w:val="Normal"/>
        <w:ind w:left="708" w:hanging="0"/>
        <w:rPr/>
      </w:pPr>
      <w:r>
        <w:rPr/>
        <w:t xml:space="preserve">2.- </w:t>
      </w:r>
      <w:r>
        <w:rPr>
          <w:u w:val="single"/>
        </w:rPr>
        <w:t>MANEJO DEL SÍNDROME ANÉMICO</w:t>
      </w:r>
      <w:r>
        <w:rPr/>
        <w:t>:</w:t>
      </w:r>
    </w:p>
    <w:p>
      <w:pPr>
        <w:pStyle w:val="Normal"/>
        <w:ind w:left="708" w:hanging="0"/>
        <w:rPr/>
      </w:pPr>
      <w:r>
        <w:rPr/>
      </w:r>
    </w:p>
    <w:p>
      <w:pPr>
        <w:pStyle w:val="Normal"/>
        <w:numPr>
          <w:ilvl w:val="0"/>
          <w:numId w:val="20"/>
        </w:numPr>
        <w:rPr/>
      </w:pPr>
      <w:r>
        <w:rPr/>
        <w:t>Fisiopatología de la anemia</w:t>
      </w:r>
    </w:p>
    <w:p>
      <w:pPr>
        <w:pStyle w:val="Normal"/>
        <w:numPr>
          <w:ilvl w:val="0"/>
          <w:numId w:val="20"/>
        </w:numPr>
        <w:rPr>
          <w:lang w:val="es-CR"/>
        </w:rPr>
      </w:pPr>
      <w:r>
        <w:rPr>
          <w:lang w:val="es-CR"/>
        </w:rPr>
        <w:t>Abordaje terapéutico inicial de un paciente con anemia</w:t>
      </w:r>
    </w:p>
    <w:p>
      <w:pPr>
        <w:pStyle w:val="Normal"/>
        <w:numPr>
          <w:ilvl w:val="0"/>
          <w:numId w:val="20"/>
        </w:numPr>
        <w:rPr>
          <w:lang w:val="es-CR"/>
        </w:rPr>
      </w:pPr>
      <w:r>
        <w:rPr>
          <w:lang w:val="es-CR"/>
        </w:rPr>
        <w:t>Aspectos farmacológicos de los hematínicos incluyendo toxicidad</w:t>
      </w:r>
    </w:p>
    <w:p>
      <w:pPr>
        <w:pStyle w:val="Normal"/>
        <w:numPr>
          <w:ilvl w:val="0"/>
          <w:numId w:val="20"/>
        </w:numPr>
        <w:rPr>
          <w:lang w:val="es-CR"/>
        </w:rPr>
      </w:pPr>
      <w:r>
        <w:rPr>
          <w:lang w:val="es-CR"/>
        </w:rPr>
        <w:t>Manejo de anemia ferropriva y megaloblástica</w:t>
      </w:r>
    </w:p>
    <w:p>
      <w:pPr>
        <w:pStyle w:val="Normal"/>
        <w:numPr>
          <w:ilvl w:val="0"/>
          <w:numId w:val="20"/>
        </w:numPr>
        <w:rPr/>
      </w:pPr>
      <w:r>
        <w:rPr/>
        <w:t>Utilización de la eritropoyetina</w:t>
      </w:r>
    </w:p>
    <w:p>
      <w:pPr>
        <w:pStyle w:val="Normal"/>
        <w:rPr/>
      </w:pPr>
      <w:r>
        <w:rPr/>
      </w:r>
    </w:p>
    <w:p>
      <w:pPr>
        <w:pStyle w:val="Normal"/>
        <w:rPr/>
      </w:pPr>
      <w:r>
        <w:rPr/>
      </w:r>
    </w:p>
    <w:p>
      <w:pPr>
        <w:pStyle w:val="Encabezado1"/>
        <w:rPr/>
      </w:pPr>
      <w:r>
        <w:rPr/>
        <w:t>X</w:t>
        <w:tab/>
        <w:t>DROGAS E HÍGADO / DROGAS Y RIÑÓN</w:t>
      </w:r>
    </w:p>
    <w:p>
      <w:pPr>
        <w:pStyle w:val="Normal"/>
        <w:rPr>
          <w:lang w:val="es-CR"/>
        </w:rPr>
      </w:pPr>
      <w:r>
        <w:rPr>
          <w:lang w:val="es-CR"/>
        </w:rPr>
      </w:r>
    </w:p>
    <w:p>
      <w:pPr>
        <w:pStyle w:val="Normal"/>
        <w:ind w:left="708" w:hanging="0"/>
        <w:rPr/>
      </w:pPr>
      <w:r>
        <w:rPr/>
        <w:t xml:space="preserve">1.- </w:t>
      </w:r>
      <w:r>
        <w:rPr>
          <w:u w:val="single"/>
        </w:rPr>
        <w:t>DROGAS E HÍGADO</w:t>
      </w:r>
      <w:r>
        <w:rPr/>
        <w:t>:</w:t>
      </w:r>
    </w:p>
    <w:p>
      <w:pPr>
        <w:pStyle w:val="Normal"/>
        <w:rPr/>
      </w:pPr>
      <w:r>
        <w:rPr/>
      </w:r>
    </w:p>
    <w:p>
      <w:pPr>
        <w:pStyle w:val="Normal"/>
        <w:numPr>
          <w:ilvl w:val="0"/>
          <w:numId w:val="21"/>
        </w:numPr>
        <w:jc w:val="both"/>
        <w:rPr>
          <w:lang w:val="es-CR"/>
        </w:rPr>
      </w:pPr>
      <w:r>
        <w:rPr>
          <w:lang w:val="es-CR"/>
        </w:rPr>
        <w:t>Influencia de la biotransformación en el efecto clínico de los fármacos</w:t>
      </w:r>
    </w:p>
    <w:p>
      <w:pPr>
        <w:pStyle w:val="Normal"/>
        <w:numPr>
          <w:ilvl w:val="0"/>
          <w:numId w:val="40"/>
        </w:numPr>
        <w:jc w:val="both"/>
        <w:rPr>
          <w:lang w:val="es-CR"/>
        </w:rPr>
      </w:pPr>
      <w:r>
        <w:rPr>
          <w:lang w:val="es-CR"/>
        </w:rPr>
        <w:t>Hígado sano en la biotransformación y eliminación de los fármacos</w:t>
      </w:r>
    </w:p>
    <w:p>
      <w:pPr>
        <w:pStyle w:val="Normal"/>
        <w:numPr>
          <w:ilvl w:val="0"/>
          <w:numId w:val="40"/>
        </w:numPr>
        <w:jc w:val="both"/>
        <w:rPr>
          <w:lang w:val="es-CR"/>
        </w:rPr>
      </w:pPr>
      <w:r>
        <w:rPr>
          <w:lang w:val="es-CR"/>
        </w:rPr>
        <w:t>Hígado enfermo en la biotransformación y eliminación de los fármacos</w:t>
      </w:r>
    </w:p>
    <w:p>
      <w:pPr>
        <w:pStyle w:val="Normal"/>
        <w:numPr>
          <w:ilvl w:val="0"/>
          <w:numId w:val="44"/>
        </w:numPr>
        <w:jc w:val="both"/>
        <w:rPr/>
      </w:pPr>
      <w:r>
        <w:rPr/>
        <w:t>Fármacos de alta extracción</w:t>
      </w:r>
    </w:p>
    <w:p>
      <w:pPr>
        <w:pStyle w:val="Normal"/>
        <w:numPr>
          <w:ilvl w:val="0"/>
          <w:numId w:val="44"/>
        </w:numPr>
        <w:jc w:val="both"/>
        <w:rPr/>
      </w:pPr>
      <w:r>
        <w:rPr/>
        <w:t>Fármacos de baja extracción</w:t>
      </w:r>
    </w:p>
    <w:p>
      <w:pPr>
        <w:pStyle w:val="Normal"/>
        <w:numPr>
          <w:ilvl w:val="0"/>
          <w:numId w:val="42"/>
        </w:numPr>
        <w:jc w:val="both"/>
        <w:rPr>
          <w:lang w:val="es-CR"/>
        </w:rPr>
      </w:pPr>
      <w:r>
        <w:rPr>
          <w:lang w:val="es-CR"/>
        </w:rPr>
        <w:t>Efectos indeseables de los fármacos sobre el hígado (hepatotoxicidad)</w:t>
      </w:r>
    </w:p>
    <w:p>
      <w:pPr>
        <w:pStyle w:val="Normal"/>
        <w:numPr>
          <w:ilvl w:val="0"/>
          <w:numId w:val="45"/>
        </w:numPr>
        <w:jc w:val="both"/>
        <w:rPr/>
      </w:pPr>
      <w:r>
        <w:rPr/>
        <w:t>Casos de necrosis</w:t>
      </w:r>
    </w:p>
    <w:p>
      <w:pPr>
        <w:pStyle w:val="Normal"/>
        <w:numPr>
          <w:ilvl w:val="0"/>
          <w:numId w:val="45"/>
        </w:numPr>
        <w:jc w:val="both"/>
        <w:rPr/>
      </w:pPr>
      <w:r>
        <w:rPr/>
        <w:t>Casos de colestasis</w:t>
      </w:r>
    </w:p>
    <w:p>
      <w:pPr>
        <w:pStyle w:val="Normal"/>
        <w:numPr>
          <w:ilvl w:val="0"/>
          <w:numId w:val="45"/>
        </w:numPr>
        <w:jc w:val="both"/>
        <w:rPr/>
      </w:pPr>
      <w:r>
        <w:rPr/>
        <w:t>Casos de otros efectos indeseables</w:t>
      </w:r>
    </w:p>
    <w:p>
      <w:pPr>
        <w:pStyle w:val="Normal"/>
        <w:numPr>
          <w:ilvl w:val="0"/>
          <w:numId w:val="21"/>
        </w:numPr>
        <w:jc w:val="both"/>
        <w:rPr>
          <w:lang w:val="es-CR"/>
        </w:rPr>
      </w:pPr>
      <w:r>
        <w:rPr>
          <w:lang w:val="es-CR"/>
        </w:rPr>
        <w:t>Interacciones cinéticas a nivel de biotransformación</w:t>
      </w:r>
    </w:p>
    <w:p>
      <w:pPr>
        <w:pStyle w:val="Normal"/>
        <w:numPr>
          <w:ilvl w:val="0"/>
          <w:numId w:val="41"/>
        </w:numPr>
        <w:jc w:val="both"/>
        <w:rPr/>
      </w:pPr>
      <w:r>
        <w:rPr/>
        <w:t>Inducción enzimática</w:t>
      </w:r>
    </w:p>
    <w:p>
      <w:pPr>
        <w:pStyle w:val="Normal"/>
        <w:numPr>
          <w:ilvl w:val="0"/>
          <w:numId w:val="41"/>
        </w:numPr>
        <w:jc w:val="both"/>
        <w:rPr/>
      </w:pPr>
      <w:r>
        <w:rPr/>
        <w:t>Inhibición enzimática</w:t>
      </w:r>
    </w:p>
    <w:p>
      <w:pPr>
        <w:pStyle w:val="Normal"/>
        <w:jc w:val="both"/>
        <w:rPr/>
      </w:pPr>
      <w:r>
        <w:rPr/>
      </w:r>
    </w:p>
    <w:p>
      <w:pPr>
        <w:pStyle w:val="Normal"/>
        <w:rPr/>
      </w:pPr>
      <w:r>
        <w:rPr/>
      </w:r>
    </w:p>
    <w:p>
      <w:pPr>
        <w:pStyle w:val="Normal"/>
        <w:rPr/>
      </w:pPr>
      <w:r>
        <w:rPr/>
      </w:r>
    </w:p>
    <w:p>
      <w:pPr>
        <w:pStyle w:val="Normal"/>
        <w:ind w:left="708" w:hanging="0"/>
        <w:jc w:val="both"/>
        <w:rPr/>
      </w:pPr>
      <w:r>
        <w:rPr/>
        <w:t xml:space="preserve">2.- </w:t>
      </w:r>
      <w:r>
        <w:rPr>
          <w:u w:val="single"/>
        </w:rPr>
        <w:t>NEFROPATÍA POR FÁRMACOS</w:t>
      </w:r>
      <w:r>
        <w:rPr/>
        <w:t>:</w:t>
      </w:r>
    </w:p>
    <w:p>
      <w:pPr>
        <w:pStyle w:val="Normal"/>
        <w:ind w:left="708" w:hanging="0"/>
        <w:jc w:val="both"/>
        <w:rPr/>
      </w:pPr>
      <w:r>
        <w:rPr/>
      </w:r>
    </w:p>
    <w:p>
      <w:pPr>
        <w:pStyle w:val="Normal"/>
        <w:numPr>
          <w:ilvl w:val="0"/>
          <w:numId w:val="21"/>
        </w:numPr>
        <w:jc w:val="both"/>
        <w:rPr>
          <w:lang w:val="es-CR"/>
        </w:rPr>
      </w:pPr>
      <w:r>
        <w:rPr>
          <w:lang w:val="es-CR"/>
        </w:rPr>
        <w:t>Factores anatómicos y funcionales que favorecen la lesión del riñón por fármacos</w:t>
      </w:r>
    </w:p>
    <w:p>
      <w:pPr>
        <w:pStyle w:val="Normal"/>
        <w:numPr>
          <w:ilvl w:val="0"/>
          <w:numId w:val="21"/>
        </w:numPr>
        <w:jc w:val="both"/>
        <w:rPr>
          <w:lang w:val="es-CR"/>
        </w:rPr>
      </w:pPr>
      <w:r>
        <w:rPr>
          <w:lang w:val="es-CR"/>
        </w:rPr>
        <w:t>Fármacos causantes de Insuficiencia Renal Aguda</w:t>
      </w:r>
    </w:p>
    <w:p>
      <w:pPr>
        <w:pStyle w:val="Normal"/>
        <w:numPr>
          <w:ilvl w:val="0"/>
          <w:numId w:val="21"/>
        </w:numPr>
        <w:jc w:val="both"/>
        <w:rPr>
          <w:lang w:val="es-CR"/>
        </w:rPr>
      </w:pPr>
      <w:r>
        <w:rPr>
          <w:lang w:val="es-CR"/>
        </w:rPr>
        <w:t>Factores predisponentes de Insuficiencia de Renal con el empleo de fármacos</w:t>
      </w:r>
    </w:p>
    <w:p>
      <w:pPr>
        <w:pStyle w:val="Normal"/>
        <w:numPr>
          <w:ilvl w:val="0"/>
          <w:numId w:val="21"/>
        </w:numPr>
        <w:jc w:val="both"/>
        <w:rPr/>
      </w:pPr>
      <w:r>
        <w:rPr/>
        <w:t>Nefritis Intersticial relacionada con fármacos</w:t>
      </w:r>
    </w:p>
    <w:p>
      <w:pPr>
        <w:pStyle w:val="Normal"/>
        <w:numPr>
          <w:ilvl w:val="0"/>
          <w:numId w:val="21"/>
        </w:numPr>
        <w:jc w:val="both"/>
        <w:rPr/>
      </w:pPr>
      <w:r>
        <w:rPr/>
        <w:t>Insuficiencia postrenal causada por fármacos</w:t>
      </w:r>
    </w:p>
    <w:p>
      <w:pPr>
        <w:pStyle w:val="Normal"/>
        <w:numPr>
          <w:ilvl w:val="0"/>
          <w:numId w:val="21"/>
        </w:numPr>
        <w:jc w:val="both"/>
        <w:rPr/>
      </w:pPr>
      <w:r>
        <w:rPr/>
        <w:t>Síndrome Nefrótico asociado a fármacos</w:t>
      </w:r>
    </w:p>
    <w:p>
      <w:pPr>
        <w:pStyle w:val="Normal"/>
        <w:numPr>
          <w:ilvl w:val="0"/>
          <w:numId w:val="21"/>
        </w:numPr>
        <w:jc w:val="both"/>
        <w:rPr>
          <w:lang w:val="es-CR"/>
        </w:rPr>
      </w:pPr>
      <w:r>
        <w:rPr>
          <w:lang w:val="es-CR"/>
        </w:rPr>
        <w:t>Utilización de medios de contraste y riñón</w:t>
      </w:r>
    </w:p>
    <w:p>
      <w:pPr>
        <w:pStyle w:val="Normal"/>
        <w:jc w:val="both"/>
        <w:rPr>
          <w:lang w:val="es-CR"/>
        </w:rPr>
      </w:pPr>
      <w:r>
        <w:rPr>
          <w:lang w:val="es-CR"/>
        </w:rPr>
      </w:r>
    </w:p>
    <w:p>
      <w:pPr>
        <w:pStyle w:val="Normal"/>
        <w:ind w:left="708" w:hanging="0"/>
        <w:jc w:val="both"/>
        <w:rPr>
          <w:lang w:val="es-CR"/>
        </w:rPr>
      </w:pPr>
      <w:r>
        <w:rPr>
          <w:lang w:val="es-CR"/>
        </w:rPr>
        <w:t xml:space="preserve">3.- </w:t>
      </w:r>
      <w:r>
        <w:rPr>
          <w:u w:val="single"/>
          <w:lang w:val="es-CR"/>
        </w:rPr>
        <w:t>UTILIZACIÓN DE FÁRMACOS EN INSUFICIENCIA RENAL</w:t>
      </w:r>
      <w:r>
        <w:rPr>
          <w:lang w:val="es-CR"/>
        </w:rPr>
        <w:t>:</w:t>
      </w:r>
    </w:p>
    <w:p>
      <w:pPr>
        <w:pStyle w:val="Normal"/>
        <w:ind w:left="708" w:hanging="0"/>
        <w:jc w:val="both"/>
        <w:rPr>
          <w:lang w:val="es-CR"/>
        </w:rPr>
      </w:pPr>
      <w:r>
        <w:rPr>
          <w:lang w:val="es-CR"/>
        </w:rPr>
      </w:r>
    </w:p>
    <w:p>
      <w:pPr>
        <w:pStyle w:val="Normal"/>
        <w:numPr>
          <w:ilvl w:val="0"/>
          <w:numId w:val="22"/>
        </w:numPr>
        <w:jc w:val="both"/>
        <w:rPr>
          <w:lang w:val="es-CR"/>
        </w:rPr>
      </w:pPr>
      <w:r>
        <w:rPr>
          <w:lang w:val="es-CR"/>
        </w:rPr>
        <w:t>Utilización clínica de medicamentos en Insuficiencia Renal</w:t>
      </w:r>
    </w:p>
    <w:p>
      <w:pPr>
        <w:pStyle w:val="Normal"/>
        <w:numPr>
          <w:ilvl w:val="0"/>
          <w:numId w:val="22"/>
        </w:numPr>
        <w:jc w:val="both"/>
        <w:rPr/>
      </w:pPr>
      <w:r>
        <w:rPr/>
        <w:t>Ajustes de dosis</w:t>
      </w:r>
    </w:p>
    <w:p>
      <w:pPr>
        <w:pStyle w:val="Normal"/>
        <w:numPr>
          <w:ilvl w:val="0"/>
          <w:numId w:val="22"/>
        </w:numPr>
        <w:jc w:val="both"/>
        <w:rPr>
          <w:lang w:val="es-CR"/>
        </w:rPr>
      </w:pPr>
      <w:r>
        <w:rPr>
          <w:lang w:val="es-CR"/>
        </w:rPr>
        <w:t>Ajuste de dosis en pacientes con hemodiálisis</w:t>
      </w:r>
    </w:p>
    <w:p>
      <w:pPr>
        <w:pStyle w:val="Normal"/>
        <w:jc w:val="both"/>
        <w:rPr>
          <w:lang w:val="es-CR"/>
        </w:rPr>
      </w:pPr>
      <w:r>
        <w:rPr>
          <w:lang w:val="es-CR"/>
        </w:rPr>
      </w:r>
    </w:p>
    <w:p>
      <w:pPr>
        <w:pStyle w:val="Normal"/>
        <w:jc w:val="both"/>
        <w:rPr>
          <w:lang w:val="es-CR"/>
        </w:rPr>
      </w:pPr>
      <w:r>
        <w:rPr>
          <w:lang w:val="es-CR"/>
        </w:rPr>
      </w:r>
    </w:p>
    <w:p>
      <w:pPr>
        <w:pStyle w:val="Encabezado1"/>
        <w:jc w:val="both"/>
        <w:rPr/>
      </w:pPr>
      <w:r>
        <w:rPr/>
        <w:t>XI</w:t>
        <w:tab/>
        <w:t>USO DE ANTICONVULSIVANTES Y STATUS EPILEPTICUS</w:t>
      </w:r>
    </w:p>
    <w:p>
      <w:pPr>
        <w:pStyle w:val="Normal"/>
        <w:jc w:val="both"/>
        <w:rPr>
          <w:lang w:val="es-CR"/>
        </w:rPr>
      </w:pPr>
      <w:r>
        <w:rPr>
          <w:lang w:val="es-CR"/>
        </w:rPr>
      </w:r>
    </w:p>
    <w:p>
      <w:pPr>
        <w:pStyle w:val="Normal"/>
        <w:jc w:val="both"/>
        <w:rPr/>
      </w:pPr>
      <w:r>
        <w:rPr>
          <w:lang w:val="es-CR"/>
        </w:rPr>
        <w:tab/>
      </w:r>
      <w:r>
        <w:rPr/>
        <w:t xml:space="preserve">1.- </w:t>
      </w:r>
      <w:r>
        <w:rPr>
          <w:u w:val="single"/>
        </w:rPr>
        <w:t>UTILIZACIÓN CLÍNICA DE ANTICONVULSIVANTES</w:t>
      </w:r>
      <w:r>
        <w:rPr/>
        <w:t>:</w:t>
      </w:r>
    </w:p>
    <w:p>
      <w:pPr>
        <w:pStyle w:val="Normal"/>
        <w:jc w:val="both"/>
        <w:rPr/>
      </w:pPr>
      <w:r>
        <w:rPr/>
      </w:r>
    </w:p>
    <w:p>
      <w:pPr>
        <w:pStyle w:val="Normal"/>
        <w:numPr>
          <w:ilvl w:val="0"/>
          <w:numId w:val="23"/>
        </w:numPr>
        <w:jc w:val="both"/>
        <w:rPr>
          <w:lang w:val="es-CR"/>
        </w:rPr>
      </w:pPr>
      <w:r>
        <w:rPr>
          <w:lang w:val="es-CR"/>
        </w:rPr>
        <w:t>Fisiopatología, clasificación de la epilepsia y síndromes epilépticos</w:t>
      </w:r>
    </w:p>
    <w:p>
      <w:pPr>
        <w:pStyle w:val="Normal"/>
        <w:numPr>
          <w:ilvl w:val="0"/>
          <w:numId w:val="23"/>
        </w:numPr>
        <w:jc w:val="both"/>
        <w:rPr>
          <w:lang w:val="es-CR"/>
        </w:rPr>
      </w:pPr>
      <w:r>
        <w:rPr>
          <w:lang w:val="es-CR"/>
        </w:rPr>
        <w:t>Convulsiones causadas por drogas y medicamentos</w:t>
      </w:r>
    </w:p>
    <w:p>
      <w:pPr>
        <w:pStyle w:val="Normal"/>
        <w:numPr>
          <w:ilvl w:val="0"/>
          <w:numId w:val="23"/>
        </w:numPr>
        <w:jc w:val="both"/>
        <w:rPr/>
      </w:pPr>
      <w:r>
        <w:rPr/>
        <w:t>Clasificación de los anticonvulsivantes</w:t>
      </w:r>
    </w:p>
    <w:p>
      <w:pPr>
        <w:pStyle w:val="Normal"/>
        <w:numPr>
          <w:ilvl w:val="0"/>
          <w:numId w:val="23"/>
        </w:numPr>
        <w:jc w:val="both"/>
        <w:rPr>
          <w:lang w:val="es-CR"/>
        </w:rPr>
      </w:pPr>
      <w:r>
        <w:rPr>
          <w:lang w:val="es-CR"/>
        </w:rPr>
        <w:t>Mecanismos de acción de los anticonvulsivantes</w:t>
      </w:r>
    </w:p>
    <w:p>
      <w:pPr>
        <w:pStyle w:val="Normal"/>
        <w:numPr>
          <w:ilvl w:val="0"/>
          <w:numId w:val="23"/>
        </w:numPr>
        <w:jc w:val="both"/>
        <w:rPr/>
      </w:pPr>
      <w:r>
        <w:rPr/>
        <w:t>Uso clínico de antiepilépticos</w:t>
      </w:r>
    </w:p>
    <w:p>
      <w:pPr>
        <w:pStyle w:val="Normal"/>
        <w:numPr>
          <w:ilvl w:val="0"/>
          <w:numId w:val="39"/>
        </w:numPr>
        <w:jc w:val="both"/>
        <w:rPr/>
      </w:pPr>
      <w:r>
        <w:rPr/>
        <w:t>Cuando iniciar tratamiento</w:t>
      </w:r>
    </w:p>
    <w:p>
      <w:pPr>
        <w:pStyle w:val="Normal"/>
        <w:numPr>
          <w:ilvl w:val="0"/>
          <w:numId w:val="39"/>
        </w:numPr>
        <w:jc w:val="both"/>
        <w:rPr/>
      </w:pPr>
      <w:r>
        <w:rPr/>
        <w:t>Cuando interrumpir tratamiento</w:t>
      </w:r>
    </w:p>
    <w:p>
      <w:pPr>
        <w:pStyle w:val="Normal"/>
        <w:numPr>
          <w:ilvl w:val="0"/>
          <w:numId w:val="39"/>
        </w:numPr>
        <w:jc w:val="both"/>
        <w:rPr/>
      </w:pPr>
      <w:r>
        <w:rPr/>
        <w:t>Escogencia clínica de anticonvulsivantes</w:t>
      </w:r>
    </w:p>
    <w:p>
      <w:pPr>
        <w:pStyle w:val="Normal"/>
        <w:numPr>
          <w:ilvl w:val="0"/>
          <w:numId w:val="39"/>
        </w:numPr>
        <w:jc w:val="both"/>
        <w:rPr/>
      </w:pPr>
      <w:r>
        <w:rPr/>
        <w:t>Monoterapia y politerapia racional</w:t>
      </w:r>
    </w:p>
    <w:p>
      <w:pPr>
        <w:pStyle w:val="Normal"/>
        <w:numPr>
          <w:ilvl w:val="0"/>
          <w:numId w:val="24"/>
        </w:numPr>
        <w:jc w:val="both"/>
        <w:rPr>
          <w:lang w:val="es-CR"/>
        </w:rPr>
      </w:pPr>
      <w:r>
        <w:rPr>
          <w:lang w:val="es-CR"/>
        </w:rPr>
        <w:t>Consideraciones farmacocinéticas en el uso de anticonvulsivantes</w:t>
      </w:r>
    </w:p>
    <w:p>
      <w:pPr>
        <w:pStyle w:val="Normal"/>
        <w:numPr>
          <w:ilvl w:val="0"/>
          <w:numId w:val="24"/>
        </w:numPr>
        <w:jc w:val="both"/>
        <w:rPr>
          <w:lang w:val="es-CR"/>
        </w:rPr>
      </w:pPr>
      <w:r>
        <w:rPr>
          <w:lang w:val="es-CR"/>
        </w:rPr>
        <w:t>Efectos adversos e interacciones de los anticonvulsivantes</w:t>
      </w:r>
    </w:p>
    <w:p>
      <w:pPr>
        <w:pStyle w:val="Normal"/>
        <w:numPr>
          <w:ilvl w:val="0"/>
          <w:numId w:val="24"/>
        </w:numPr>
        <w:jc w:val="both"/>
        <w:rPr/>
      </w:pPr>
      <w:r>
        <w:rPr/>
        <w:t>Nuevos antiepilépticos</w:t>
      </w:r>
    </w:p>
    <w:p>
      <w:pPr>
        <w:pStyle w:val="Normal"/>
        <w:numPr>
          <w:ilvl w:val="0"/>
          <w:numId w:val="24"/>
        </w:numPr>
        <w:jc w:val="both"/>
        <w:rPr/>
      </w:pPr>
      <w:r>
        <w:rPr/>
        <w:t>Otros usos de estos medicamentos</w:t>
      </w:r>
    </w:p>
    <w:p>
      <w:pPr>
        <w:pStyle w:val="Normal"/>
        <w:jc w:val="both"/>
        <w:rPr/>
      </w:pPr>
      <w:r>
        <w:rPr/>
      </w:r>
    </w:p>
    <w:p>
      <w:pPr>
        <w:pStyle w:val="Normal"/>
        <w:ind w:left="708" w:hanging="0"/>
        <w:jc w:val="both"/>
        <w:rPr/>
      </w:pPr>
      <w:r>
        <w:rPr/>
        <w:t xml:space="preserve">2.- </w:t>
      </w:r>
      <w:r>
        <w:rPr>
          <w:u w:val="single"/>
        </w:rPr>
        <w:t>STATUS CONVULSIVO</w:t>
      </w:r>
      <w:r>
        <w:rPr/>
        <w:t>:</w:t>
      </w:r>
    </w:p>
    <w:p>
      <w:pPr>
        <w:pStyle w:val="Normal"/>
        <w:ind w:left="708" w:hanging="0"/>
        <w:jc w:val="both"/>
        <w:rPr/>
      </w:pPr>
      <w:r>
        <w:rPr/>
      </w:r>
    </w:p>
    <w:p>
      <w:pPr>
        <w:pStyle w:val="Normal"/>
        <w:numPr>
          <w:ilvl w:val="0"/>
          <w:numId w:val="25"/>
        </w:numPr>
        <w:jc w:val="both"/>
        <w:rPr>
          <w:lang w:val="es-CR"/>
        </w:rPr>
      </w:pPr>
      <w:r>
        <w:rPr>
          <w:lang w:val="es-CR"/>
        </w:rPr>
        <w:t>Definición clásica y operativa de status convulsivo</w:t>
      </w:r>
    </w:p>
    <w:p>
      <w:pPr>
        <w:pStyle w:val="Normal"/>
        <w:numPr>
          <w:ilvl w:val="0"/>
          <w:numId w:val="25"/>
        </w:numPr>
        <w:jc w:val="both"/>
        <w:rPr/>
      </w:pPr>
      <w:r>
        <w:rPr/>
        <w:t>Clasificación clínica</w:t>
      </w:r>
    </w:p>
    <w:p>
      <w:pPr>
        <w:pStyle w:val="Normal"/>
        <w:numPr>
          <w:ilvl w:val="0"/>
          <w:numId w:val="25"/>
        </w:numPr>
        <w:jc w:val="both"/>
        <w:rPr/>
      </w:pPr>
      <w:r>
        <w:rPr/>
        <w:t>Fisiopatología del status convulsivo</w:t>
      </w:r>
    </w:p>
    <w:p>
      <w:pPr>
        <w:pStyle w:val="Normal"/>
        <w:numPr>
          <w:ilvl w:val="0"/>
          <w:numId w:val="25"/>
        </w:numPr>
        <w:jc w:val="both"/>
        <w:rPr/>
      </w:pPr>
      <w:r>
        <w:rPr/>
        <w:t>Factores precipitantes</w:t>
      </w:r>
    </w:p>
    <w:p>
      <w:pPr>
        <w:pStyle w:val="Normal"/>
        <w:numPr>
          <w:ilvl w:val="0"/>
          <w:numId w:val="25"/>
        </w:numPr>
        <w:jc w:val="both"/>
        <w:rPr/>
      </w:pPr>
      <w:r>
        <w:rPr/>
        <w:t>Esquema terapéutico inicial del manejo</w:t>
      </w:r>
    </w:p>
    <w:p>
      <w:pPr>
        <w:pStyle w:val="Normal"/>
        <w:numPr>
          <w:ilvl w:val="0"/>
          <w:numId w:val="25"/>
        </w:numPr>
        <w:jc w:val="both"/>
        <w:rPr/>
      </w:pPr>
      <w:r>
        <w:rPr/>
        <w:t>Manejo del estado convulsivo refractario</w:t>
      </w:r>
    </w:p>
    <w:p>
      <w:pPr>
        <w:pStyle w:val="Normal"/>
        <w:numPr>
          <w:ilvl w:val="0"/>
          <w:numId w:val="25"/>
        </w:numPr>
        <w:jc w:val="both"/>
        <w:rPr>
          <w:lang w:val="es-CR"/>
        </w:rPr>
      </w:pPr>
      <w:r>
        <w:rPr>
          <w:lang w:val="es-CR"/>
        </w:rPr>
        <w:t>Aspectos farmacológicos de los anticonvulsivantes de uso parenteral</w:t>
      </w:r>
    </w:p>
    <w:p>
      <w:pPr>
        <w:pStyle w:val="Normal"/>
        <w:numPr>
          <w:ilvl w:val="0"/>
          <w:numId w:val="38"/>
        </w:numPr>
        <w:jc w:val="both"/>
        <w:rPr>
          <w:lang w:val="es-CR"/>
        </w:rPr>
      </w:pPr>
      <w:r>
        <w:rPr>
          <w:lang w:val="es-CR"/>
        </w:rPr>
        <w:t>Presentaciones, dosificación, métodos de administración y efectos secundarios</w:t>
      </w:r>
    </w:p>
    <w:p>
      <w:pPr>
        <w:pStyle w:val="Normal"/>
        <w:jc w:val="both"/>
        <w:rPr>
          <w:lang w:val="es-CR"/>
        </w:rPr>
      </w:pPr>
      <w:r>
        <w:rPr>
          <w:lang w:val="es-CR"/>
        </w:rPr>
      </w:r>
    </w:p>
    <w:p>
      <w:pPr>
        <w:pStyle w:val="Encabezado1"/>
        <w:ind w:left="705" w:hanging="705"/>
        <w:jc w:val="both"/>
        <w:rPr/>
      </w:pPr>
      <w:r>
        <w:rPr/>
        <w:t>XII</w:t>
        <w:tab/>
        <w:t>TRATAMIENTO DE CEFALEAS, TRATAMIENTO DE VÉRTIGO Y UTILIZACIÓN DE ANTIEMÉTICOS, EDEMA CEREBRAL</w:t>
      </w:r>
    </w:p>
    <w:p>
      <w:pPr>
        <w:pStyle w:val="Normal"/>
        <w:jc w:val="both"/>
        <w:rPr>
          <w:b/>
          <w:b/>
          <w:bCs/>
          <w:lang w:val="es-CR"/>
        </w:rPr>
      </w:pPr>
      <w:r>
        <w:rPr>
          <w:b/>
          <w:bCs/>
          <w:lang w:val="es-CR"/>
        </w:rPr>
      </w:r>
    </w:p>
    <w:p>
      <w:pPr>
        <w:pStyle w:val="Normal"/>
        <w:jc w:val="both"/>
        <w:rPr/>
      </w:pPr>
      <w:r>
        <w:rPr>
          <w:lang w:val="es-CR"/>
        </w:rPr>
        <w:tab/>
      </w:r>
      <w:r>
        <w:rPr/>
        <w:t xml:space="preserve">1.- </w:t>
      </w:r>
      <w:r>
        <w:rPr>
          <w:u w:val="single"/>
        </w:rPr>
        <w:t>CEFALEAS</w:t>
      </w:r>
      <w:r>
        <w:rPr/>
        <w:t>:</w:t>
      </w:r>
    </w:p>
    <w:p>
      <w:pPr>
        <w:pStyle w:val="Normal"/>
        <w:jc w:val="both"/>
        <w:rPr/>
      </w:pPr>
      <w:r>
        <w:rPr/>
      </w:r>
    </w:p>
    <w:p>
      <w:pPr>
        <w:pStyle w:val="Normal"/>
        <w:numPr>
          <w:ilvl w:val="0"/>
          <w:numId w:val="26"/>
        </w:numPr>
        <w:jc w:val="both"/>
        <w:rPr/>
      </w:pPr>
      <w:r>
        <w:rPr/>
        <w:t>Clasificación de las cefaleas</w:t>
      </w:r>
    </w:p>
    <w:p>
      <w:pPr>
        <w:pStyle w:val="Normal"/>
        <w:numPr>
          <w:ilvl w:val="0"/>
          <w:numId w:val="26"/>
        </w:numPr>
        <w:jc w:val="both"/>
        <w:rPr/>
      </w:pPr>
      <w:r>
        <w:rPr/>
        <w:t>Fisiopatología de la migraña</w:t>
      </w:r>
    </w:p>
    <w:p>
      <w:pPr>
        <w:pStyle w:val="Normal"/>
        <w:numPr>
          <w:ilvl w:val="0"/>
          <w:numId w:val="26"/>
        </w:numPr>
        <w:jc w:val="both"/>
        <w:rPr>
          <w:lang w:val="es-CR"/>
        </w:rPr>
      </w:pPr>
      <w:r>
        <w:rPr>
          <w:lang w:val="es-CR"/>
        </w:rPr>
        <w:t>Reconocimiento clínico de una crisis migrañosa</w:t>
      </w:r>
    </w:p>
    <w:p>
      <w:pPr>
        <w:pStyle w:val="Normal"/>
        <w:numPr>
          <w:ilvl w:val="0"/>
          <w:numId w:val="26"/>
        </w:numPr>
        <w:jc w:val="both"/>
        <w:rPr>
          <w:lang w:val="es-CR"/>
        </w:rPr>
      </w:pPr>
      <w:r>
        <w:rPr>
          <w:lang w:val="es-CR"/>
        </w:rPr>
        <w:t>Abordaje terapéutico de la crisis aguda</w:t>
      </w:r>
    </w:p>
    <w:p>
      <w:pPr>
        <w:pStyle w:val="Normal"/>
        <w:numPr>
          <w:ilvl w:val="0"/>
          <w:numId w:val="26"/>
        </w:numPr>
        <w:jc w:val="both"/>
        <w:rPr>
          <w:lang w:val="es-CR"/>
        </w:rPr>
      </w:pPr>
      <w:r>
        <w:rPr>
          <w:lang w:val="es-CR"/>
        </w:rPr>
        <w:t>Aspectos farmacológicos de analgésicos, derivados de la ergotamina, triptanes y antieméticos utilizados en las crisis migrañosas</w:t>
      </w:r>
    </w:p>
    <w:p>
      <w:pPr>
        <w:pStyle w:val="Normal"/>
        <w:numPr>
          <w:ilvl w:val="0"/>
          <w:numId w:val="26"/>
        </w:numPr>
        <w:jc w:val="both"/>
        <w:rPr>
          <w:lang w:val="es-CR"/>
        </w:rPr>
      </w:pPr>
      <w:r>
        <w:rPr>
          <w:lang w:val="es-CR"/>
        </w:rPr>
        <w:t>Profilaxis farmacológica y no farmacológica de la migraña</w:t>
      </w:r>
    </w:p>
    <w:p>
      <w:pPr>
        <w:pStyle w:val="Normal"/>
        <w:numPr>
          <w:ilvl w:val="0"/>
          <w:numId w:val="37"/>
        </w:numPr>
        <w:jc w:val="both"/>
        <w:rPr/>
      </w:pPr>
      <w:r>
        <w:rPr/>
        <w:t>Indicaciones clínicas de la profilaxis</w:t>
      </w:r>
    </w:p>
    <w:p>
      <w:pPr>
        <w:pStyle w:val="Normal"/>
        <w:numPr>
          <w:ilvl w:val="0"/>
          <w:numId w:val="37"/>
        </w:numPr>
        <w:jc w:val="both"/>
        <w:rPr/>
      </w:pPr>
      <w:r>
        <w:rPr/>
        <w:t>Agentes farmacológicos a utilizar</w:t>
      </w:r>
    </w:p>
    <w:p>
      <w:pPr>
        <w:pStyle w:val="Normal"/>
        <w:numPr>
          <w:ilvl w:val="0"/>
          <w:numId w:val="37"/>
        </w:numPr>
        <w:jc w:val="both"/>
        <w:rPr/>
      </w:pPr>
      <w:r>
        <w:rPr/>
        <w:t>Criterios de evaluación de efectividad</w:t>
      </w:r>
    </w:p>
    <w:p>
      <w:pPr>
        <w:pStyle w:val="Normal"/>
        <w:numPr>
          <w:ilvl w:val="0"/>
          <w:numId w:val="27"/>
        </w:numPr>
        <w:jc w:val="both"/>
        <w:rPr/>
      </w:pPr>
      <w:r>
        <w:rPr/>
        <w:t>Cefalea de racimos y esfuerzos</w:t>
      </w:r>
    </w:p>
    <w:p>
      <w:pPr>
        <w:pStyle w:val="Normal"/>
        <w:numPr>
          <w:ilvl w:val="0"/>
          <w:numId w:val="27"/>
        </w:numPr>
        <w:jc w:val="both"/>
        <w:rPr/>
      </w:pPr>
      <w:r>
        <w:rPr/>
        <w:t>Cefalea tensional:  concepto y manejo</w:t>
      </w:r>
    </w:p>
    <w:p>
      <w:pPr>
        <w:pStyle w:val="Normal"/>
        <w:numPr>
          <w:ilvl w:val="0"/>
          <w:numId w:val="27"/>
        </w:numPr>
        <w:jc w:val="both"/>
        <w:rPr/>
      </w:pPr>
      <w:r>
        <w:rPr/>
        <w:t>Cefaleas tóxico-metabólicas, reconocimiento</w:t>
      </w:r>
    </w:p>
    <w:p>
      <w:pPr>
        <w:pStyle w:val="Normal"/>
        <w:jc w:val="both"/>
        <w:rPr/>
      </w:pPr>
      <w:r>
        <w:rPr/>
      </w:r>
    </w:p>
    <w:p>
      <w:pPr>
        <w:pStyle w:val="Normal"/>
        <w:ind w:left="708" w:hanging="0"/>
        <w:jc w:val="both"/>
        <w:rPr>
          <w:lang w:val="es-CR"/>
        </w:rPr>
      </w:pPr>
      <w:r>
        <w:rPr>
          <w:lang w:val="es-CR"/>
        </w:rPr>
        <w:t xml:space="preserve">2.- </w:t>
      </w:r>
      <w:r>
        <w:rPr>
          <w:u w:val="single"/>
          <w:lang w:val="es-CR"/>
        </w:rPr>
        <w:t>HIPERTENSIÓN ENDOCRANEANA Y EDEMA CEREBRAL</w:t>
      </w:r>
      <w:r>
        <w:rPr>
          <w:lang w:val="es-CR"/>
        </w:rPr>
        <w:t>:</w:t>
      </w:r>
    </w:p>
    <w:p>
      <w:pPr>
        <w:pStyle w:val="Normal"/>
        <w:ind w:left="708" w:hanging="0"/>
        <w:jc w:val="both"/>
        <w:rPr>
          <w:lang w:val="es-CR"/>
        </w:rPr>
      </w:pPr>
      <w:r>
        <w:rPr>
          <w:lang w:val="es-CR"/>
        </w:rPr>
      </w:r>
    </w:p>
    <w:p>
      <w:pPr>
        <w:pStyle w:val="Normal"/>
        <w:numPr>
          <w:ilvl w:val="0"/>
          <w:numId w:val="28"/>
        </w:numPr>
        <w:jc w:val="both"/>
        <w:rPr>
          <w:lang w:val="es-CR"/>
        </w:rPr>
      </w:pPr>
      <w:r>
        <w:rPr>
          <w:lang w:val="es-CR"/>
        </w:rPr>
        <w:t>Fisiopatología de la hipertensión endocraneana y el edema cerebral</w:t>
      </w:r>
    </w:p>
    <w:p>
      <w:pPr>
        <w:pStyle w:val="Normal"/>
        <w:numPr>
          <w:ilvl w:val="0"/>
          <w:numId w:val="28"/>
        </w:numPr>
        <w:jc w:val="both"/>
        <w:rPr/>
      </w:pPr>
      <w:r>
        <w:rPr/>
        <w:t>Reconocimiento clínico y aspectos diagnósticos</w:t>
      </w:r>
    </w:p>
    <w:p>
      <w:pPr>
        <w:pStyle w:val="Normal"/>
        <w:numPr>
          <w:ilvl w:val="0"/>
          <w:numId w:val="28"/>
        </w:numPr>
        <w:jc w:val="both"/>
        <w:rPr>
          <w:lang w:val="es-CR"/>
        </w:rPr>
      </w:pPr>
      <w:r>
        <w:rPr>
          <w:lang w:val="es-CR"/>
        </w:rPr>
        <w:t>Abordaje terapéutico inicial de un paciente con hipertensión endocraneana</w:t>
      </w:r>
    </w:p>
    <w:p>
      <w:pPr>
        <w:pStyle w:val="Normal"/>
        <w:numPr>
          <w:ilvl w:val="0"/>
          <w:numId w:val="28"/>
        </w:numPr>
        <w:jc w:val="both"/>
        <w:rPr>
          <w:lang w:val="es-CR"/>
        </w:rPr>
      </w:pPr>
      <w:r>
        <w:rPr>
          <w:lang w:val="es-CR"/>
        </w:rPr>
        <w:t>Farmacología de los diuréticos osmóticos:</w:t>
      </w:r>
    </w:p>
    <w:p>
      <w:pPr>
        <w:pStyle w:val="Normal"/>
        <w:numPr>
          <w:ilvl w:val="0"/>
          <w:numId w:val="36"/>
        </w:numPr>
        <w:jc w:val="both"/>
        <w:rPr>
          <w:lang w:val="es-CR"/>
        </w:rPr>
      </w:pPr>
      <w:r>
        <w:rPr>
          <w:lang w:val="es-CR"/>
        </w:rPr>
        <w:t>Tipos, presentación, métodos de administración, dosificación y monitoreo terapéutico</w:t>
      </w:r>
    </w:p>
    <w:p>
      <w:pPr>
        <w:pStyle w:val="Normal"/>
        <w:numPr>
          <w:ilvl w:val="0"/>
          <w:numId w:val="36"/>
        </w:numPr>
        <w:jc w:val="both"/>
        <w:rPr/>
      </w:pPr>
      <w:r>
        <w:rPr/>
        <w:t>Efectos secundarios</w:t>
      </w:r>
    </w:p>
    <w:p>
      <w:pPr>
        <w:pStyle w:val="Normal"/>
        <w:numPr>
          <w:ilvl w:val="0"/>
          <w:numId w:val="29"/>
        </w:numPr>
        <w:jc w:val="both"/>
        <w:rPr>
          <w:lang w:val="es-CR"/>
        </w:rPr>
      </w:pPr>
      <w:r>
        <w:rPr>
          <w:lang w:val="es-CR"/>
        </w:rPr>
        <w:t>Otras alternativas terapéuticas en el manejo del edema cerebral</w:t>
      </w:r>
    </w:p>
    <w:p>
      <w:pPr>
        <w:pStyle w:val="Normal"/>
        <w:jc w:val="both"/>
        <w:rPr>
          <w:lang w:val="es-CR"/>
        </w:rPr>
      </w:pPr>
      <w:r>
        <w:rPr>
          <w:lang w:val="es-CR"/>
        </w:rPr>
      </w:r>
    </w:p>
    <w:p>
      <w:pPr>
        <w:pStyle w:val="Normal"/>
        <w:ind w:left="708" w:hanging="0"/>
        <w:jc w:val="both"/>
        <w:rPr>
          <w:lang w:val="es-CR"/>
        </w:rPr>
      </w:pPr>
      <w:r>
        <w:rPr>
          <w:lang w:val="es-CR"/>
        </w:rPr>
        <w:t xml:space="preserve">3.- </w:t>
      </w:r>
      <w:r>
        <w:rPr>
          <w:u w:val="single"/>
          <w:lang w:val="es-CR"/>
        </w:rPr>
        <w:t>MANEJO DEL VÉRTIGO Y UTILIZACIÓN DE ANTIEMÉTICOS</w:t>
      </w:r>
      <w:r>
        <w:rPr>
          <w:lang w:val="es-CR"/>
        </w:rPr>
        <w:t>:</w:t>
      </w:r>
    </w:p>
    <w:p>
      <w:pPr>
        <w:pStyle w:val="Normal"/>
        <w:ind w:left="708" w:hanging="0"/>
        <w:jc w:val="both"/>
        <w:rPr>
          <w:lang w:val="es-CR"/>
        </w:rPr>
      </w:pPr>
      <w:r>
        <w:rPr>
          <w:lang w:val="es-CR"/>
        </w:rPr>
      </w:r>
    </w:p>
    <w:p>
      <w:pPr>
        <w:pStyle w:val="Normal"/>
        <w:numPr>
          <w:ilvl w:val="0"/>
          <w:numId w:val="29"/>
        </w:numPr>
        <w:jc w:val="both"/>
        <w:rPr>
          <w:lang w:val="es-CR"/>
        </w:rPr>
      </w:pPr>
      <w:r>
        <w:rPr>
          <w:lang w:val="es-CR"/>
        </w:rPr>
        <w:t>Concepto de vértigo y diagnóstico diferencial con lipotimia, presíncope, síncope y síndrome de desequilibrio</w:t>
      </w:r>
    </w:p>
    <w:p>
      <w:pPr>
        <w:pStyle w:val="Normal"/>
        <w:numPr>
          <w:ilvl w:val="0"/>
          <w:numId w:val="29"/>
        </w:numPr>
        <w:jc w:val="both"/>
        <w:rPr>
          <w:lang w:val="es-CR"/>
        </w:rPr>
      </w:pPr>
      <w:r>
        <w:rPr>
          <w:lang w:val="es-CR"/>
        </w:rPr>
        <w:t>Diagnóstico diferencial de vértigo periférico y vértigo central</w:t>
      </w:r>
    </w:p>
    <w:p>
      <w:pPr>
        <w:pStyle w:val="Normal"/>
        <w:numPr>
          <w:ilvl w:val="0"/>
          <w:numId w:val="29"/>
        </w:numPr>
        <w:jc w:val="both"/>
        <w:rPr>
          <w:lang w:val="es-CR"/>
        </w:rPr>
      </w:pPr>
      <w:r>
        <w:rPr>
          <w:lang w:val="es-CR"/>
        </w:rPr>
        <w:t>Fármacos y sustancias químicas que afectan el oído interno</w:t>
      </w:r>
    </w:p>
    <w:p>
      <w:pPr>
        <w:pStyle w:val="Normal"/>
        <w:numPr>
          <w:ilvl w:val="0"/>
          <w:numId w:val="29"/>
        </w:numPr>
        <w:jc w:val="both"/>
        <w:rPr>
          <w:lang w:val="es-CR"/>
        </w:rPr>
      </w:pPr>
      <w:r>
        <w:rPr>
          <w:lang w:val="es-CR"/>
        </w:rPr>
        <w:t>Empleo clínico de antivertiginosos y antieméticos</w:t>
      </w:r>
    </w:p>
    <w:p>
      <w:pPr>
        <w:pStyle w:val="Normal"/>
        <w:numPr>
          <w:ilvl w:val="0"/>
          <w:numId w:val="29"/>
        </w:numPr>
        <w:jc w:val="both"/>
        <w:rPr>
          <w:lang w:val="es-CR"/>
        </w:rPr>
      </w:pPr>
      <w:r>
        <w:rPr>
          <w:lang w:val="es-CR"/>
        </w:rPr>
        <w:t>Manejo de un síndrome vertiginoso periférico agudo y crónico</w:t>
      </w:r>
    </w:p>
    <w:p>
      <w:pPr>
        <w:pStyle w:val="Normal"/>
        <w:jc w:val="both"/>
        <w:rPr>
          <w:lang w:val="es-CR"/>
        </w:rPr>
      </w:pPr>
      <w:r>
        <w:rPr>
          <w:lang w:val="es-CR"/>
        </w:rPr>
      </w:r>
    </w:p>
    <w:p>
      <w:pPr>
        <w:pStyle w:val="Normal"/>
        <w:ind w:left="708" w:hanging="0"/>
        <w:jc w:val="both"/>
        <w:rPr>
          <w:u w:val="single"/>
          <w:lang w:val="es-CR"/>
        </w:rPr>
      </w:pPr>
      <w:r>
        <w:rPr>
          <w:lang w:val="es-CR"/>
        </w:rPr>
        <w:t xml:space="preserve">4.- </w:t>
      </w:r>
      <w:r>
        <w:rPr>
          <w:u w:val="single"/>
          <w:lang w:val="es-CR"/>
        </w:rPr>
        <w:t xml:space="preserve">ABORDAJE DE LA ENFERMEDAD CEREBROVASCULAR Y </w:t>
      </w:r>
    </w:p>
    <w:p>
      <w:pPr>
        <w:pStyle w:val="Normal"/>
        <w:ind w:firstLine="708"/>
        <w:jc w:val="both"/>
        <w:rPr/>
      </w:pPr>
      <w:r>
        <w:rPr>
          <w:lang w:val="es-CR"/>
        </w:rPr>
        <w:t xml:space="preserve">      </w:t>
      </w:r>
      <w:r>
        <w:rPr>
          <w:u w:val="single"/>
        </w:rPr>
        <w:t>DEL EVENTO CEREBROVASCULAR AGUDO</w:t>
      </w:r>
      <w:r>
        <w:rPr/>
        <w:t>:</w:t>
      </w:r>
    </w:p>
    <w:p>
      <w:pPr>
        <w:pStyle w:val="Normal"/>
        <w:ind w:firstLine="708"/>
        <w:jc w:val="both"/>
        <w:rPr/>
      </w:pPr>
      <w:r>
        <w:rPr/>
      </w:r>
    </w:p>
    <w:p>
      <w:pPr>
        <w:pStyle w:val="Normal"/>
        <w:numPr>
          <w:ilvl w:val="0"/>
          <w:numId w:val="30"/>
        </w:numPr>
        <w:jc w:val="both"/>
        <w:rPr>
          <w:lang w:val="es-CR"/>
        </w:rPr>
      </w:pPr>
      <w:r>
        <w:rPr>
          <w:lang w:val="es-CR"/>
        </w:rPr>
        <w:t>Clasificación de la enfermedad cerebrovascular:   isquémica, embólica, hemorrágica</w:t>
      </w:r>
    </w:p>
    <w:p>
      <w:pPr>
        <w:pStyle w:val="Normal"/>
        <w:numPr>
          <w:ilvl w:val="0"/>
          <w:numId w:val="30"/>
        </w:numPr>
        <w:jc w:val="both"/>
        <w:rPr/>
      </w:pPr>
      <w:r>
        <w:rPr/>
        <w:t>Grandes síndromes cerebro-vasculares agudos</w:t>
      </w:r>
    </w:p>
    <w:p>
      <w:pPr>
        <w:pStyle w:val="Normal"/>
        <w:numPr>
          <w:ilvl w:val="0"/>
          <w:numId w:val="30"/>
        </w:numPr>
        <w:jc w:val="both"/>
        <w:rPr>
          <w:lang w:val="es-CR"/>
        </w:rPr>
      </w:pPr>
      <w:r>
        <w:rPr>
          <w:lang w:val="es-CR"/>
        </w:rPr>
        <w:t>Fisiopatología de la isquemia vascular cerebral</w:t>
      </w:r>
    </w:p>
    <w:p>
      <w:pPr>
        <w:pStyle w:val="Normal"/>
        <w:numPr>
          <w:ilvl w:val="0"/>
          <w:numId w:val="30"/>
        </w:numPr>
        <w:jc w:val="both"/>
        <w:rPr>
          <w:lang w:val="es-CR"/>
        </w:rPr>
      </w:pPr>
      <w:r>
        <w:rPr>
          <w:lang w:val="es-CR"/>
        </w:rPr>
        <w:t>Abordaje terapéutico de un evento cerebrovascular agudo</w:t>
      </w:r>
    </w:p>
    <w:p>
      <w:pPr>
        <w:pStyle w:val="Normal"/>
        <w:numPr>
          <w:ilvl w:val="0"/>
          <w:numId w:val="30"/>
        </w:numPr>
        <w:jc w:val="both"/>
        <w:rPr/>
      </w:pPr>
      <w:r>
        <w:rPr/>
        <w:t>Hipertensión y enfermedad cerebrovascular</w:t>
      </w:r>
    </w:p>
    <w:p>
      <w:pPr>
        <w:pStyle w:val="Normal"/>
        <w:numPr>
          <w:ilvl w:val="0"/>
          <w:numId w:val="30"/>
        </w:numPr>
        <w:jc w:val="both"/>
        <w:rPr>
          <w:lang w:val="es-CR"/>
        </w:rPr>
      </w:pPr>
      <w:r>
        <w:rPr>
          <w:lang w:val="es-CR"/>
        </w:rPr>
        <w:t>Terapia trombolítica y enfermedad cerebrovascular isquémica aguda</w:t>
      </w:r>
    </w:p>
    <w:p>
      <w:pPr>
        <w:pStyle w:val="Normal"/>
        <w:numPr>
          <w:ilvl w:val="0"/>
          <w:numId w:val="30"/>
        </w:numPr>
        <w:jc w:val="both"/>
        <w:rPr/>
      </w:pPr>
      <w:r>
        <w:rPr/>
        <w:t>Prevención primaria de la enfermedad</w:t>
      </w:r>
    </w:p>
    <w:p>
      <w:pPr>
        <w:pStyle w:val="Normal"/>
        <w:numPr>
          <w:ilvl w:val="0"/>
          <w:numId w:val="30"/>
        </w:numPr>
        <w:jc w:val="both"/>
        <w:rPr>
          <w:lang w:val="es-CR"/>
        </w:rPr>
      </w:pPr>
      <w:r>
        <w:rPr>
          <w:lang w:val="es-CR"/>
        </w:rPr>
        <w:t>Prevención secundaria de la enfermedad cerebrovascular:  isquémica y embólica cardiaca</w:t>
      </w:r>
    </w:p>
    <w:p>
      <w:pPr>
        <w:pStyle w:val="Normal"/>
        <w:jc w:val="both"/>
        <w:rPr>
          <w:lang w:val="es-CR"/>
        </w:rPr>
      </w:pPr>
      <w:r>
        <w:rPr>
          <w:lang w:val="es-CR"/>
        </w:rPr>
      </w:r>
    </w:p>
    <w:p>
      <w:pPr>
        <w:pStyle w:val="Normal"/>
        <w:jc w:val="both"/>
        <w:rPr>
          <w:lang w:val="es-CR"/>
        </w:rPr>
      </w:pPr>
      <w:r>
        <w:rPr>
          <w:lang w:val="es-CR"/>
        </w:rPr>
      </w:r>
    </w:p>
    <w:p>
      <w:pPr>
        <w:pStyle w:val="Encabezado1"/>
        <w:jc w:val="both"/>
        <w:rPr/>
      </w:pPr>
      <w:r>
        <w:rPr/>
        <w:t>XIII</w:t>
        <w:tab/>
        <w:t xml:space="preserve">DROGAS EN ENFERMEDAD DE PARKINSON </w:t>
      </w:r>
    </w:p>
    <w:p>
      <w:pPr>
        <w:pStyle w:val="Normal"/>
        <w:jc w:val="both"/>
        <w:rPr>
          <w:b/>
          <w:b/>
          <w:bCs/>
          <w:lang w:val="es-CR"/>
        </w:rPr>
      </w:pPr>
      <w:r>
        <w:rPr>
          <w:lang w:val="es-CR"/>
        </w:rPr>
        <w:tab/>
      </w:r>
      <w:r>
        <w:rPr>
          <w:b/>
          <w:bCs/>
          <w:lang w:val="es-CR"/>
        </w:rPr>
        <w:t>MANEJO DE AVC Y USO CLÍNICO DE GLUCOCORTICOIDES</w:t>
      </w:r>
    </w:p>
    <w:p>
      <w:pPr>
        <w:pStyle w:val="Normal"/>
        <w:jc w:val="both"/>
        <w:rPr>
          <w:b/>
          <w:b/>
          <w:bCs/>
          <w:lang w:val="es-CR"/>
        </w:rPr>
      </w:pPr>
      <w:r>
        <w:rPr>
          <w:b/>
          <w:bCs/>
          <w:lang w:val="es-CR"/>
        </w:rPr>
      </w:r>
    </w:p>
    <w:p>
      <w:pPr>
        <w:pStyle w:val="Normal"/>
        <w:jc w:val="both"/>
        <w:rPr>
          <w:lang w:val="es-CR"/>
        </w:rPr>
      </w:pPr>
      <w:r>
        <w:rPr>
          <w:lang w:val="es-CR"/>
        </w:rPr>
        <w:tab/>
        <w:t xml:space="preserve">1.- </w:t>
      </w:r>
      <w:r>
        <w:rPr>
          <w:u w:val="single"/>
          <w:lang w:val="es-CR"/>
        </w:rPr>
        <w:t>TRASTORNOS DEL MOVIMIENTO Y PARKINSONISMO</w:t>
      </w:r>
      <w:r>
        <w:rPr>
          <w:lang w:val="es-CR"/>
        </w:rPr>
        <w:t>:</w:t>
      </w:r>
    </w:p>
    <w:p>
      <w:pPr>
        <w:pStyle w:val="Normal"/>
        <w:jc w:val="both"/>
        <w:rPr>
          <w:lang w:val="es-CR"/>
        </w:rPr>
      </w:pPr>
      <w:r>
        <w:rPr>
          <w:lang w:val="es-CR"/>
        </w:rPr>
      </w:r>
    </w:p>
    <w:p>
      <w:pPr>
        <w:pStyle w:val="Normal"/>
        <w:numPr>
          <w:ilvl w:val="0"/>
          <w:numId w:val="31"/>
        </w:numPr>
        <w:jc w:val="both"/>
        <w:rPr>
          <w:lang w:val="es-CR"/>
        </w:rPr>
      </w:pPr>
      <w:r>
        <w:rPr>
          <w:lang w:val="es-CR"/>
        </w:rPr>
        <w:t>Organización fundamental de los ganglios basales</w:t>
      </w:r>
    </w:p>
    <w:p>
      <w:pPr>
        <w:pStyle w:val="Normal"/>
        <w:numPr>
          <w:ilvl w:val="0"/>
          <w:numId w:val="31"/>
        </w:numPr>
        <w:jc w:val="both"/>
        <w:rPr>
          <w:lang w:val="es-CR"/>
        </w:rPr>
      </w:pPr>
      <w:r>
        <w:rPr>
          <w:lang w:val="es-CR"/>
        </w:rPr>
        <w:t>Fisiopatología de los trastornos del movimiento y de la enfermedad de Parkinson</w:t>
      </w:r>
    </w:p>
    <w:p>
      <w:pPr>
        <w:pStyle w:val="Normal"/>
        <w:numPr>
          <w:ilvl w:val="0"/>
          <w:numId w:val="31"/>
        </w:numPr>
        <w:jc w:val="both"/>
        <w:rPr/>
      </w:pPr>
      <w:r>
        <w:rPr/>
        <w:t>Extrapiramidalismo inducido por fármacos</w:t>
      </w:r>
    </w:p>
    <w:p>
      <w:pPr>
        <w:pStyle w:val="Normal"/>
        <w:numPr>
          <w:ilvl w:val="0"/>
          <w:numId w:val="31"/>
        </w:numPr>
        <w:jc w:val="both"/>
        <w:rPr/>
      </w:pPr>
      <w:r>
        <w:rPr/>
        <w:t>Manejo farmacológico del Parkinson</w:t>
      </w:r>
    </w:p>
    <w:p>
      <w:pPr>
        <w:pStyle w:val="Normal"/>
        <w:numPr>
          <w:ilvl w:val="0"/>
          <w:numId w:val="35"/>
        </w:numPr>
        <w:jc w:val="both"/>
        <w:rPr/>
      </w:pPr>
      <w:r>
        <w:rPr/>
        <w:t>Inhibidores</w:t>
      </w:r>
    </w:p>
    <w:p>
      <w:pPr>
        <w:pStyle w:val="Normal"/>
        <w:numPr>
          <w:ilvl w:val="0"/>
          <w:numId w:val="35"/>
        </w:numPr>
        <w:jc w:val="both"/>
        <w:rPr/>
      </w:pPr>
      <w:r>
        <w:rPr/>
        <w:t>Anticolinérgicos y amantadina</w:t>
      </w:r>
    </w:p>
    <w:p>
      <w:pPr>
        <w:pStyle w:val="Normal"/>
        <w:numPr>
          <w:ilvl w:val="0"/>
          <w:numId w:val="35"/>
        </w:numPr>
        <w:jc w:val="both"/>
        <w:rPr/>
      </w:pPr>
      <w:r>
        <w:rPr/>
        <w:t>Levodopa / Carbidopa, otros</w:t>
      </w:r>
    </w:p>
    <w:p>
      <w:pPr>
        <w:pStyle w:val="Normal"/>
        <w:numPr>
          <w:ilvl w:val="0"/>
          <w:numId w:val="35"/>
        </w:numPr>
        <w:jc w:val="both"/>
        <w:rPr>
          <w:lang w:val="es-CR"/>
        </w:rPr>
      </w:pPr>
      <w:r>
        <w:rPr>
          <w:lang w:val="es-CR"/>
        </w:rPr>
        <w:t>Cuando iniciar la administración de Levodopa (controversia existente)</w:t>
      </w:r>
    </w:p>
    <w:p>
      <w:pPr>
        <w:pStyle w:val="Normal"/>
        <w:numPr>
          <w:ilvl w:val="0"/>
          <w:numId w:val="35"/>
        </w:numPr>
        <w:jc w:val="both"/>
        <w:rPr/>
      </w:pPr>
      <w:r>
        <w:rPr/>
        <w:t>Fluctuaciones clínicas con tratamiento</w:t>
      </w:r>
    </w:p>
    <w:p>
      <w:pPr>
        <w:pStyle w:val="Normal"/>
        <w:numPr>
          <w:ilvl w:val="0"/>
          <w:numId w:val="35"/>
        </w:numPr>
        <w:jc w:val="both"/>
        <w:rPr>
          <w:lang w:val="es-CR"/>
        </w:rPr>
      </w:pPr>
      <w:r>
        <w:rPr>
          <w:lang w:val="es-CR"/>
        </w:rPr>
        <w:t>Efectos adversos del tratamiento y su manejo</w:t>
      </w:r>
    </w:p>
    <w:p>
      <w:pPr>
        <w:pStyle w:val="Normal"/>
        <w:jc w:val="both"/>
        <w:rPr>
          <w:lang w:val="es-CR"/>
        </w:rPr>
      </w:pPr>
      <w:r>
        <w:rPr>
          <w:lang w:val="es-CR"/>
        </w:rPr>
      </w:r>
    </w:p>
    <w:p>
      <w:pPr>
        <w:pStyle w:val="Normal"/>
        <w:jc w:val="both"/>
        <w:rPr>
          <w:lang w:val="es-CR"/>
        </w:rPr>
      </w:pPr>
      <w:r>
        <w:rPr>
          <w:lang w:val="es-CR"/>
        </w:rPr>
      </w:r>
    </w:p>
    <w:p>
      <w:pPr>
        <w:pStyle w:val="Encabezado1"/>
        <w:jc w:val="both"/>
        <w:rPr/>
      </w:pPr>
      <w:r>
        <w:rPr/>
        <w:t>XIV</w:t>
        <w:tab/>
        <w:t>USO CLINICO DE AINES Y MODIFICADORES DE RESPUESTA</w:t>
      </w:r>
    </w:p>
    <w:p>
      <w:pPr>
        <w:pStyle w:val="Encabezado1"/>
        <w:ind w:firstLine="708"/>
        <w:jc w:val="both"/>
        <w:rPr/>
      </w:pPr>
      <w:r>
        <w:rPr/>
        <w:t>INTERACCIONES Y EFECTOS ADVERSOS DE AINES</w:t>
      </w:r>
    </w:p>
    <w:p>
      <w:pPr>
        <w:pStyle w:val="Normal"/>
        <w:jc w:val="both"/>
        <w:rPr>
          <w:b/>
          <w:b/>
          <w:bCs/>
          <w:lang w:val="es-CR"/>
        </w:rPr>
      </w:pPr>
      <w:r>
        <w:rPr>
          <w:lang w:val="es-CR"/>
        </w:rPr>
        <w:tab/>
      </w:r>
      <w:r>
        <w:rPr>
          <w:b/>
          <w:bCs/>
          <w:lang w:val="es-CR"/>
        </w:rPr>
        <w:t>MANERJO DE ARTRITIS POR CRISTALES</w:t>
      </w:r>
    </w:p>
    <w:p>
      <w:pPr>
        <w:pStyle w:val="Normal"/>
        <w:ind w:firstLine="708"/>
        <w:jc w:val="both"/>
        <w:rPr>
          <w:b/>
          <w:b/>
          <w:bCs/>
          <w:lang w:val="es-CR"/>
        </w:rPr>
      </w:pPr>
      <w:r>
        <w:rPr>
          <w:b/>
          <w:bCs/>
          <w:lang w:val="es-CR"/>
        </w:rPr>
        <w:t>OSTEOARTROSIS Y FIBROMIALGIA</w:t>
      </w:r>
    </w:p>
    <w:p>
      <w:pPr>
        <w:pStyle w:val="Encabezado1"/>
        <w:ind w:firstLine="708"/>
        <w:jc w:val="both"/>
        <w:rPr/>
      </w:pPr>
      <w:r>
        <w:rPr/>
      </w:r>
    </w:p>
    <w:p>
      <w:pPr>
        <w:pStyle w:val="Normal"/>
        <w:jc w:val="both"/>
        <w:rPr>
          <w:lang w:val="es-CR"/>
        </w:rPr>
      </w:pPr>
      <w:r>
        <w:rPr>
          <w:lang w:val="es-CR"/>
        </w:rPr>
        <w:tab/>
      </w:r>
    </w:p>
    <w:p>
      <w:pPr>
        <w:pStyle w:val="Encabezado1"/>
        <w:jc w:val="both"/>
        <w:rPr/>
      </w:pPr>
      <w:r>
        <w:rPr/>
        <w:t>XV</w:t>
        <w:tab/>
        <w:t>TRATAMIENTO DE REACCIONES ALÉRGICAS Y ANAFILAXIA</w:t>
      </w:r>
    </w:p>
    <w:p>
      <w:pPr>
        <w:pStyle w:val="Normal"/>
        <w:jc w:val="both"/>
        <w:rPr>
          <w:u w:val="single"/>
          <w:lang w:val="es-CR"/>
        </w:rPr>
      </w:pPr>
      <w:r>
        <w:rPr>
          <w:u w:val="single"/>
          <w:lang w:val="es-CR"/>
        </w:rPr>
      </w:r>
    </w:p>
    <w:p>
      <w:pPr>
        <w:pStyle w:val="Normal"/>
        <w:ind w:left="708" w:hanging="0"/>
        <w:jc w:val="both"/>
        <w:rPr>
          <w:u w:val="single"/>
          <w:lang w:val="es-CR"/>
        </w:rPr>
      </w:pPr>
      <w:r>
        <w:rPr>
          <w:lang w:val="es-CR"/>
        </w:rPr>
        <w:t xml:space="preserve">1.- </w:t>
      </w:r>
      <w:r>
        <w:rPr>
          <w:u w:val="single"/>
          <w:lang w:val="es-CR"/>
        </w:rPr>
        <w:t xml:space="preserve">TRATAMIENTO DE REACCIONES ALÉRGICAS Y DE LA              </w:t>
      </w:r>
    </w:p>
    <w:p>
      <w:pPr>
        <w:pStyle w:val="Normal"/>
        <w:ind w:left="708" w:hanging="0"/>
        <w:jc w:val="both"/>
        <w:rPr/>
      </w:pPr>
      <w:r>
        <w:rPr>
          <w:lang w:val="es-CR"/>
        </w:rPr>
        <w:t xml:space="preserve">      </w:t>
      </w:r>
      <w:r>
        <w:rPr>
          <w:u w:val="single"/>
        </w:rPr>
        <w:t>ANAFILAXIA</w:t>
      </w:r>
      <w:r>
        <w:rPr/>
        <w:t>:</w:t>
      </w:r>
    </w:p>
    <w:p>
      <w:pPr>
        <w:pStyle w:val="Normal"/>
        <w:ind w:left="708" w:hanging="0"/>
        <w:jc w:val="both"/>
        <w:rPr/>
      </w:pPr>
      <w:r>
        <w:rPr/>
      </w:r>
    </w:p>
    <w:p>
      <w:pPr>
        <w:pStyle w:val="Normal"/>
        <w:numPr>
          <w:ilvl w:val="0"/>
          <w:numId w:val="32"/>
        </w:numPr>
        <w:jc w:val="both"/>
        <w:rPr>
          <w:lang w:val="es-CR"/>
        </w:rPr>
      </w:pPr>
      <w:r>
        <w:rPr>
          <w:lang w:val="es-CR"/>
        </w:rPr>
        <w:t>Principios de reacción adversa a medicamentos</w:t>
      </w:r>
    </w:p>
    <w:p>
      <w:pPr>
        <w:pStyle w:val="Normal"/>
        <w:numPr>
          <w:ilvl w:val="0"/>
          <w:numId w:val="33"/>
        </w:numPr>
        <w:jc w:val="both"/>
        <w:rPr>
          <w:lang w:val="es-CR"/>
        </w:rPr>
      </w:pPr>
      <w:r>
        <w:rPr>
          <w:lang w:val="es-CR"/>
        </w:rPr>
        <w:t>Clasificación tipo A y tipo B</w:t>
      </w:r>
    </w:p>
    <w:p>
      <w:pPr>
        <w:pStyle w:val="Normal"/>
        <w:numPr>
          <w:ilvl w:val="0"/>
          <w:numId w:val="32"/>
        </w:numPr>
        <w:jc w:val="both"/>
        <w:rPr/>
      </w:pPr>
      <w:r>
        <w:rPr/>
        <w:t>Fisiopatología de la alergia</w:t>
      </w:r>
    </w:p>
    <w:p>
      <w:pPr>
        <w:pStyle w:val="Normal"/>
        <w:numPr>
          <w:ilvl w:val="0"/>
          <w:numId w:val="32"/>
        </w:numPr>
        <w:jc w:val="both"/>
        <w:rPr/>
      </w:pPr>
      <w:r>
        <w:rPr/>
        <w:t>Manejo de alergias</w:t>
      </w:r>
    </w:p>
    <w:p>
      <w:pPr>
        <w:pStyle w:val="Normal"/>
        <w:numPr>
          <w:ilvl w:val="0"/>
          <w:numId w:val="32"/>
        </w:numPr>
        <w:jc w:val="both"/>
        <w:rPr>
          <w:lang w:val="es-CR"/>
        </w:rPr>
      </w:pPr>
      <w:r>
        <w:rPr>
          <w:lang w:val="es-CR"/>
        </w:rPr>
        <w:t>Valor predictivo de las pruebas de sensibilidad a los fármacos</w:t>
      </w:r>
    </w:p>
    <w:p>
      <w:pPr>
        <w:pStyle w:val="Normal"/>
        <w:numPr>
          <w:ilvl w:val="0"/>
          <w:numId w:val="34"/>
        </w:numPr>
        <w:jc w:val="both"/>
        <w:rPr>
          <w:lang w:val="es-CR"/>
        </w:rPr>
      </w:pPr>
      <w:r>
        <w:rPr>
          <w:lang w:val="es-CR"/>
        </w:rPr>
        <w:t>Abordaje terapéutico de una reacción anafiláctica</w:t>
      </w:r>
    </w:p>
    <w:p>
      <w:pPr>
        <w:pStyle w:val="Encabezado1"/>
        <w:jc w:val="both"/>
        <w:rPr/>
      </w:pPr>
      <w:r>
        <w:rPr/>
      </w:r>
    </w:p>
    <w:p>
      <w:pPr>
        <w:pStyle w:val="Normal"/>
        <w:rPr/>
      </w:pPr>
      <w:r>
        <w:rPr/>
      </w:r>
    </w:p>
    <w:sectPr>
      <w:type w:val="nextPage"/>
      <w:pgSz w:w="12240" w:h="15840"/>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Arial Narrow">
    <w:charset w:val="00"/>
    <w:family w:val="roman"/>
    <w:pitch w:val="variable"/>
  </w:font>
  <w:font w:name="Arial">
    <w:charset w:val="00"/>
    <w:family w:val="roman"/>
    <w:pitch w:val="variable"/>
  </w:font>
  <w:font w:name="Liberation Sans">
    <w:altName w:val="Arial"/>
    <w:charset w:val="00"/>
    <w:family w:val="roman"/>
    <w:pitch w:val="variable"/>
  </w:font>
  <w:font w:name="Calibri">
    <w:charset w:val="00"/>
    <w:family w:val="roman"/>
    <w:pitch w:val="variable"/>
  </w:font>
  <w:font w:name="Bookman Old Style">
    <w:charset w:val="00"/>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423"/>
        </w:tabs>
        <w:ind w:left="1423" w:hanging="360"/>
      </w:pPr>
      <w:rPr>
        <w:rFonts w:ascii="Wingdings" w:hAnsi="Wingdings" w:cs="Wingdings" w:hint="default"/>
      </w:rPr>
    </w:lvl>
    <w:lvl w:ilvl="1">
      <w:start w:val="1"/>
      <w:numFmt w:val="decimal"/>
      <w:lvlText w:val="%2."/>
      <w:lvlJc w:val="left"/>
      <w:pPr>
        <w:tabs>
          <w:tab w:val="num" w:pos="2143"/>
        </w:tabs>
        <w:ind w:left="2143" w:hanging="360"/>
      </w:pPr>
    </w:lvl>
    <w:lvl w:ilvl="2">
      <w:start w:val="1"/>
      <w:numFmt w:val="bullet"/>
      <w:lvlText w:val=""/>
      <w:lvlJc w:val="left"/>
      <w:pPr>
        <w:tabs>
          <w:tab w:val="num" w:pos="2863"/>
        </w:tabs>
        <w:ind w:left="2863" w:hanging="360"/>
      </w:pPr>
      <w:rPr>
        <w:rFonts w:ascii="Wingdings" w:hAnsi="Wingdings" w:cs="Wingdings" w:hint="default"/>
      </w:rPr>
    </w:lvl>
    <w:lvl w:ilvl="3">
      <w:start w:val="1"/>
      <w:numFmt w:val="bullet"/>
      <w:lvlText w:val=""/>
      <w:lvlJc w:val="left"/>
      <w:pPr>
        <w:tabs>
          <w:tab w:val="num" w:pos="3583"/>
        </w:tabs>
        <w:ind w:left="3583" w:hanging="360"/>
      </w:pPr>
      <w:rPr>
        <w:rFonts w:ascii="Symbol" w:hAnsi="Symbol" w:cs="Symbol" w:hint="default"/>
      </w:rPr>
    </w:lvl>
    <w:lvl w:ilvl="4">
      <w:start w:val="1"/>
      <w:numFmt w:val="bullet"/>
      <w:lvlText w:val="o"/>
      <w:lvlJc w:val="left"/>
      <w:pPr>
        <w:tabs>
          <w:tab w:val="num" w:pos="4303"/>
        </w:tabs>
        <w:ind w:left="4303" w:hanging="360"/>
      </w:pPr>
      <w:rPr>
        <w:rFonts w:ascii="Courier New" w:hAnsi="Courier New" w:cs="Courier New" w:hint="default"/>
      </w:rPr>
    </w:lvl>
    <w:lvl w:ilvl="5">
      <w:start w:val="1"/>
      <w:numFmt w:val="bullet"/>
      <w:lvlText w:val=""/>
      <w:lvlJc w:val="left"/>
      <w:pPr>
        <w:tabs>
          <w:tab w:val="num" w:pos="5023"/>
        </w:tabs>
        <w:ind w:left="5023" w:hanging="360"/>
      </w:pPr>
      <w:rPr>
        <w:rFonts w:ascii="Wingdings" w:hAnsi="Wingdings" w:cs="Wingdings" w:hint="default"/>
      </w:rPr>
    </w:lvl>
    <w:lvl w:ilvl="6">
      <w:start w:val="1"/>
      <w:numFmt w:val="bullet"/>
      <w:lvlText w:val=""/>
      <w:lvlJc w:val="left"/>
      <w:pPr>
        <w:tabs>
          <w:tab w:val="num" w:pos="5743"/>
        </w:tabs>
        <w:ind w:left="5743" w:hanging="360"/>
      </w:pPr>
      <w:rPr>
        <w:rFonts w:ascii="Symbol" w:hAnsi="Symbol" w:cs="Symbol" w:hint="default"/>
      </w:rPr>
    </w:lvl>
    <w:lvl w:ilvl="7">
      <w:start w:val="1"/>
      <w:numFmt w:val="bullet"/>
      <w:lvlText w:val="o"/>
      <w:lvlJc w:val="left"/>
      <w:pPr>
        <w:tabs>
          <w:tab w:val="num" w:pos="6463"/>
        </w:tabs>
        <w:ind w:left="6463" w:hanging="360"/>
      </w:pPr>
      <w:rPr>
        <w:rFonts w:ascii="Courier New" w:hAnsi="Courier New" w:cs="Courier New" w:hint="default"/>
      </w:rPr>
    </w:lvl>
    <w:lvl w:ilvl="8">
      <w:start w:val="1"/>
      <w:numFmt w:val="bullet"/>
      <w:lvlText w:val=""/>
      <w:lvlJc w:val="left"/>
      <w:pPr>
        <w:tabs>
          <w:tab w:val="num" w:pos="7183"/>
        </w:tabs>
        <w:ind w:left="7183" w:hanging="360"/>
      </w:pPr>
      <w:rPr>
        <w:rFonts w:ascii="Wingdings" w:hAnsi="Wingdings" w:cs="Wingdings" w:hint="default"/>
      </w:rPr>
    </w:lvl>
  </w:abstractNum>
  <w:abstractNum w:abstractNumId="2">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
    <w:lvl w:ilvl="0">
      <w:start w:val="1"/>
      <w:numFmt w:val="bullet"/>
      <w:lvlText w:val=""/>
      <w:lvlJc w:val="left"/>
      <w:pPr>
        <w:tabs>
          <w:tab w:val="num" w:pos="1423"/>
        </w:tabs>
        <w:ind w:left="1423" w:hanging="360"/>
      </w:pPr>
      <w:rPr>
        <w:rFonts w:ascii="Wingdings" w:hAnsi="Wingdings" w:cs="Wingdings" w:hint="default"/>
      </w:rPr>
    </w:lvl>
    <w:lvl w:ilvl="1">
      <w:start w:val="1"/>
      <w:numFmt w:val="bullet"/>
      <w:lvlText w:val="o"/>
      <w:lvlJc w:val="left"/>
      <w:pPr>
        <w:tabs>
          <w:tab w:val="num" w:pos="2143"/>
        </w:tabs>
        <w:ind w:left="2143" w:hanging="360"/>
      </w:pPr>
      <w:rPr>
        <w:rFonts w:ascii="Courier New" w:hAnsi="Courier New" w:cs="Courier New" w:hint="default"/>
      </w:rPr>
    </w:lvl>
    <w:lvl w:ilvl="2">
      <w:start w:val="1"/>
      <w:numFmt w:val="bullet"/>
      <w:lvlText w:val=""/>
      <w:lvlJc w:val="left"/>
      <w:pPr>
        <w:tabs>
          <w:tab w:val="num" w:pos="2863"/>
        </w:tabs>
        <w:ind w:left="2863" w:hanging="360"/>
      </w:pPr>
      <w:rPr>
        <w:rFonts w:ascii="Wingdings" w:hAnsi="Wingdings" w:cs="Wingdings" w:hint="default"/>
      </w:rPr>
    </w:lvl>
    <w:lvl w:ilvl="3">
      <w:start w:val="1"/>
      <w:numFmt w:val="bullet"/>
      <w:lvlText w:val=""/>
      <w:lvlJc w:val="left"/>
      <w:pPr>
        <w:tabs>
          <w:tab w:val="num" w:pos="3583"/>
        </w:tabs>
        <w:ind w:left="3583" w:hanging="360"/>
      </w:pPr>
      <w:rPr>
        <w:rFonts w:ascii="Symbol" w:hAnsi="Symbol" w:cs="Symbol" w:hint="default"/>
      </w:rPr>
    </w:lvl>
    <w:lvl w:ilvl="4">
      <w:start w:val="1"/>
      <w:numFmt w:val="bullet"/>
      <w:lvlText w:val="o"/>
      <w:lvlJc w:val="left"/>
      <w:pPr>
        <w:tabs>
          <w:tab w:val="num" w:pos="4303"/>
        </w:tabs>
        <w:ind w:left="4303" w:hanging="360"/>
      </w:pPr>
      <w:rPr>
        <w:rFonts w:ascii="Courier New" w:hAnsi="Courier New" w:cs="Courier New" w:hint="default"/>
      </w:rPr>
    </w:lvl>
    <w:lvl w:ilvl="5">
      <w:start w:val="1"/>
      <w:numFmt w:val="bullet"/>
      <w:lvlText w:val=""/>
      <w:lvlJc w:val="left"/>
      <w:pPr>
        <w:tabs>
          <w:tab w:val="num" w:pos="5023"/>
        </w:tabs>
        <w:ind w:left="5023" w:hanging="360"/>
      </w:pPr>
      <w:rPr>
        <w:rFonts w:ascii="Wingdings" w:hAnsi="Wingdings" w:cs="Wingdings" w:hint="default"/>
      </w:rPr>
    </w:lvl>
    <w:lvl w:ilvl="6">
      <w:start w:val="1"/>
      <w:numFmt w:val="bullet"/>
      <w:lvlText w:val=""/>
      <w:lvlJc w:val="left"/>
      <w:pPr>
        <w:tabs>
          <w:tab w:val="num" w:pos="5743"/>
        </w:tabs>
        <w:ind w:left="5743" w:hanging="360"/>
      </w:pPr>
      <w:rPr>
        <w:rFonts w:ascii="Symbol" w:hAnsi="Symbol" w:cs="Symbol" w:hint="default"/>
      </w:rPr>
    </w:lvl>
    <w:lvl w:ilvl="7">
      <w:start w:val="1"/>
      <w:numFmt w:val="bullet"/>
      <w:lvlText w:val="o"/>
      <w:lvlJc w:val="left"/>
      <w:pPr>
        <w:tabs>
          <w:tab w:val="num" w:pos="6463"/>
        </w:tabs>
        <w:ind w:left="6463" w:hanging="360"/>
      </w:pPr>
      <w:rPr>
        <w:rFonts w:ascii="Courier New" w:hAnsi="Courier New" w:cs="Courier New" w:hint="default"/>
      </w:rPr>
    </w:lvl>
    <w:lvl w:ilvl="8">
      <w:start w:val="1"/>
      <w:numFmt w:val="bullet"/>
      <w:lvlText w:val=""/>
      <w:lvlJc w:val="left"/>
      <w:pPr>
        <w:tabs>
          <w:tab w:val="num" w:pos="7183"/>
        </w:tabs>
        <w:ind w:left="7183" w:hanging="360"/>
      </w:pPr>
      <w:rPr>
        <w:rFonts w:ascii="Wingdings" w:hAnsi="Wingdings" w:cs="Wingdings" w:hint="default"/>
      </w:rPr>
    </w:lvl>
  </w:abstractNum>
  <w:abstractNum w:abstractNumId="4">
    <w:lvl w:ilvl="0">
      <w:start w:val="1"/>
      <w:numFmt w:val="decimal"/>
      <w:lvlText w:val="%1.)"/>
      <w:lvlJc w:val="left"/>
      <w:pPr>
        <w:tabs>
          <w:tab w:val="num" w:pos="1065"/>
        </w:tabs>
        <w:ind w:left="1065" w:hanging="705"/>
      </w:pPr>
    </w:lvl>
    <w:lvl w:ilvl="1">
      <w:start w:val="1"/>
      <w:numFmt w:val="bullet"/>
      <w:lvlText w:val=""/>
      <w:lvlJc w:val="left"/>
      <w:pPr>
        <w:tabs>
          <w:tab w:val="num" w:pos="1440"/>
        </w:tabs>
        <w:ind w:left="1440" w:hanging="360"/>
      </w:pPr>
      <w:rPr>
        <w:rFonts w:ascii="Wingdings" w:hAnsi="Wingdings" w:cs="Wingdings" w:hint="default"/>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6">
    <w:lvl w:ilvl="0">
      <w:start w:val="1"/>
      <w:numFmt w:val="bullet"/>
      <w:lvlText w:val=""/>
      <w:lvlJc w:val="left"/>
      <w:pPr>
        <w:tabs>
          <w:tab w:val="num" w:pos="1423"/>
        </w:tabs>
        <w:ind w:left="1423" w:hanging="360"/>
      </w:pPr>
      <w:rPr>
        <w:rFonts w:ascii="Wingdings" w:hAnsi="Wingdings" w:cs="Wingdings" w:hint="default"/>
      </w:rPr>
    </w:lvl>
    <w:lvl w:ilvl="1">
      <w:start w:val="1"/>
      <w:numFmt w:val="bullet"/>
      <w:lvlText w:val="o"/>
      <w:lvlJc w:val="left"/>
      <w:pPr>
        <w:tabs>
          <w:tab w:val="num" w:pos="2143"/>
        </w:tabs>
        <w:ind w:left="2143" w:hanging="360"/>
      </w:pPr>
      <w:rPr>
        <w:rFonts w:ascii="Courier New" w:hAnsi="Courier New" w:cs="Courier New" w:hint="default"/>
      </w:rPr>
    </w:lvl>
    <w:lvl w:ilvl="2">
      <w:start w:val="1"/>
      <w:numFmt w:val="bullet"/>
      <w:lvlText w:val=""/>
      <w:lvlJc w:val="left"/>
      <w:pPr>
        <w:tabs>
          <w:tab w:val="num" w:pos="2863"/>
        </w:tabs>
        <w:ind w:left="2863" w:hanging="360"/>
      </w:pPr>
      <w:rPr>
        <w:rFonts w:ascii="Wingdings" w:hAnsi="Wingdings" w:cs="Wingdings" w:hint="default"/>
      </w:rPr>
    </w:lvl>
    <w:lvl w:ilvl="3">
      <w:start w:val="1"/>
      <w:numFmt w:val="bullet"/>
      <w:lvlText w:val=""/>
      <w:lvlJc w:val="left"/>
      <w:pPr>
        <w:tabs>
          <w:tab w:val="num" w:pos="3583"/>
        </w:tabs>
        <w:ind w:left="3583" w:hanging="360"/>
      </w:pPr>
      <w:rPr>
        <w:rFonts w:ascii="Symbol" w:hAnsi="Symbol" w:cs="Symbol" w:hint="default"/>
      </w:rPr>
    </w:lvl>
    <w:lvl w:ilvl="4">
      <w:start w:val="1"/>
      <w:numFmt w:val="bullet"/>
      <w:lvlText w:val="o"/>
      <w:lvlJc w:val="left"/>
      <w:pPr>
        <w:tabs>
          <w:tab w:val="num" w:pos="4303"/>
        </w:tabs>
        <w:ind w:left="4303" w:hanging="360"/>
      </w:pPr>
      <w:rPr>
        <w:rFonts w:ascii="Courier New" w:hAnsi="Courier New" w:cs="Courier New" w:hint="default"/>
      </w:rPr>
    </w:lvl>
    <w:lvl w:ilvl="5">
      <w:start w:val="1"/>
      <w:numFmt w:val="bullet"/>
      <w:lvlText w:val=""/>
      <w:lvlJc w:val="left"/>
      <w:pPr>
        <w:tabs>
          <w:tab w:val="num" w:pos="5023"/>
        </w:tabs>
        <w:ind w:left="5023" w:hanging="360"/>
      </w:pPr>
      <w:rPr>
        <w:rFonts w:ascii="Wingdings" w:hAnsi="Wingdings" w:cs="Wingdings" w:hint="default"/>
      </w:rPr>
    </w:lvl>
    <w:lvl w:ilvl="6">
      <w:start w:val="1"/>
      <w:numFmt w:val="bullet"/>
      <w:lvlText w:val=""/>
      <w:lvlJc w:val="left"/>
      <w:pPr>
        <w:tabs>
          <w:tab w:val="num" w:pos="5743"/>
        </w:tabs>
        <w:ind w:left="5743" w:hanging="360"/>
      </w:pPr>
      <w:rPr>
        <w:rFonts w:ascii="Symbol" w:hAnsi="Symbol" w:cs="Symbol" w:hint="default"/>
      </w:rPr>
    </w:lvl>
    <w:lvl w:ilvl="7">
      <w:start w:val="1"/>
      <w:numFmt w:val="bullet"/>
      <w:lvlText w:val="o"/>
      <w:lvlJc w:val="left"/>
      <w:pPr>
        <w:tabs>
          <w:tab w:val="num" w:pos="6463"/>
        </w:tabs>
        <w:ind w:left="6463" w:hanging="360"/>
      </w:pPr>
      <w:rPr>
        <w:rFonts w:ascii="Courier New" w:hAnsi="Courier New" w:cs="Courier New" w:hint="default"/>
      </w:rPr>
    </w:lvl>
    <w:lvl w:ilvl="8">
      <w:start w:val="1"/>
      <w:numFmt w:val="bullet"/>
      <w:lvlText w:val=""/>
      <w:lvlJc w:val="left"/>
      <w:pPr>
        <w:tabs>
          <w:tab w:val="num" w:pos="7183"/>
        </w:tabs>
        <w:ind w:left="7183" w:hanging="360"/>
      </w:pPr>
      <w:rPr>
        <w:rFonts w:ascii="Wingdings" w:hAnsi="Wingdings" w:cs="Wingdings" w:hint="default"/>
      </w:rPr>
    </w:lvl>
  </w:abstractNum>
  <w:abstractNum w:abstractNumId="7">
    <w:lvl w:ilvl="0">
      <w:start w:val="1"/>
      <w:numFmt w:val="bullet"/>
      <w:lvlText w:val=""/>
      <w:lvlJc w:val="left"/>
      <w:pPr>
        <w:tabs>
          <w:tab w:val="num" w:pos="1423"/>
        </w:tabs>
        <w:ind w:left="1423" w:hanging="360"/>
      </w:pPr>
      <w:rPr>
        <w:rFonts w:ascii="Wingdings" w:hAnsi="Wingdings" w:cs="Wingdings" w:hint="default"/>
      </w:rPr>
    </w:lvl>
    <w:lvl w:ilvl="1">
      <w:start w:val="1"/>
      <w:numFmt w:val="bullet"/>
      <w:lvlText w:val="o"/>
      <w:lvlJc w:val="left"/>
      <w:pPr>
        <w:tabs>
          <w:tab w:val="num" w:pos="2143"/>
        </w:tabs>
        <w:ind w:left="2143" w:hanging="360"/>
      </w:pPr>
      <w:rPr>
        <w:rFonts w:ascii="Courier New" w:hAnsi="Courier New" w:cs="Courier New" w:hint="default"/>
      </w:rPr>
    </w:lvl>
    <w:lvl w:ilvl="2">
      <w:start w:val="1"/>
      <w:numFmt w:val="bullet"/>
      <w:lvlText w:val=""/>
      <w:lvlJc w:val="left"/>
      <w:pPr>
        <w:tabs>
          <w:tab w:val="num" w:pos="2863"/>
        </w:tabs>
        <w:ind w:left="2863" w:hanging="360"/>
      </w:pPr>
      <w:rPr>
        <w:rFonts w:ascii="Wingdings" w:hAnsi="Wingdings" w:cs="Wingdings" w:hint="default"/>
      </w:rPr>
    </w:lvl>
    <w:lvl w:ilvl="3">
      <w:start w:val="1"/>
      <w:numFmt w:val="bullet"/>
      <w:lvlText w:val=""/>
      <w:lvlJc w:val="left"/>
      <w:pPr>
        <w:tabs>
          <w:tab w:val="num" w:pos="3583"/>
        </w:tabs>
        <w:ind w:left="3583" w:hanging="360"/>
      </w:pPr>
      <w:rPr>
        <w:rFonts w:ascii="Symbol" w:hAnsi="Symbol" w:cs="Symbol" w:hint="default"/>
      </w:rPr>
    </w:lvl>
    <w:lvl w:ilvl="4">
      <w:start w:val="1"/>
      <w:numFmt w:val="bullet"/>
      <w:lvlText w:val="o"/>
      <w:lvlJc w:val="left"/>
      <w:pPr>
        <w:tabs>
          <w:tab w:val="num" w:pos="4303"/>
        </w:tabs>
        <w:ind w:left="4303" w:hanging="360"/>
      </w:pPr>
      <w:rPr>
        <w:rFonts w:ascii="Courier New" w:hAnsi="Courier New" w:cs="Courier New" w:hint="default"/>
      </w:rPr>
    </w:lvl>
    <w:lvl w:ilvl="5">
      <w:start w:val="1"/>
      <w:numFmt w:val="bullet"/>
      <w:lvlText w:val=""/>
      <w:lvlJc w:val="left"/>
      <w:pPr>
        <w:tabs>
          <w:tab w:val="num" w:pos="5023"/>
        </w:tabs>
        <w:ind w:left="5023" w:hanging="360"/>
      </w:pPr>
      <w:rPr>
        <w:rFonts w:ascii="Wingdings" w:hAnsi="Wingdings" w:cs="Wingdings" w:hint="default"/>
      </w:rPr>
    </w:lvl>
    <w:lvl w:ilvl="6">
      <w:start w:val="1"/>
      <w:numFmt w:val="bullet"/>
      <w:lvlText w:val=""/>
      <w:lvlJc w:val="left"/>
      <w:pPr>
        <w:tabs>
          <w:tab w:val="num" w:pos="5743"/>
        </w:tabs>
        <w:ind w:left="5743" w:hanging="360"/>
      </w:pPr>
      <w:rPr>
        <w:rFonts w:ascii="Symbol" w:hAnsi="Symbol" w:cs="Symbol" w:hint="default"/>
      </w:rPr>
    </w:lvl>
    <w:lvl w:ilvl="7">
      <w:start w:val="1"/>
      <w:numFmt w:val="bullet"/>
      <w:lvlText w:val="o"/>
      <w:lvlJc w:val="left"/>
      <w:pPr>
        <w:tabs>
          <w:tab w:val="num" w:pos="6463"/>
        </w:tabs>
        <w:ind w:left="6463" w:hanging="360"/>
      </w:pPr>
      <w:rPr>
        <w:rFonts w:ascii="Courier New" w:hAnsi="Courier New" w:cs="Courier New" w:hint="default"/>
      </w:rPr>
    </w:lvl>
    <w:lvl w:ilvl="8">
      <w:start w:val="1"/>
      <w:numFmt w:val="bullet"/>
      <w:lvlText w:val=""/>
      <w:lvlJc w:val="left"/>
      <w:pPr>
        <w:tabs>
          <w:tab w:val="num" w:pos="7183"/>
        </w:tabs>
        <w:ind w:left="7183" w:hanging="360"/>
      </w:pPr>
      <w:rPr>
        <w:rFonts w:ascii="Wingdings" w:hAnsi="Wingdings" w:cs="Wingdings" w:hint="default"/>
      </w:rPr>
    </w:lvl>
  </w:abstractNum>
  <w:abstractNum w:abstractNumId="8">
    <w:lvl w:ilvl="0">
      <w:start w:val="1"/>
      <w:numFmt w:val="bullet"/>
      <w:lvlText w:val=""/>
      <w:lvlJc w:val="left"/>
      <w:pPr>
        <w:tabs>
          <w:tab w:val="num" w:pos="1423"/>
        </w:tabs>
        <w:ind w:left="1423" w:hanging="360"/>
      </w:pPr>
      <w:rPr>
        <w:rFonts w:ascii="Wingdings" w:hAnsi="Wingdings" w:cs="Wingdings" w:hint="default"/>
      </w:rPr>
    </w:lvl>
    <w:lvl w:ilvl="1">
      <w:start w:val="1"/>
      <w:numFmt w:val="bullet"/>
      <w:lvlText w:val="o"/>
      <w:lvlJc w:val="left"/>
      <w:pPr>
        <w:tabs>
          <w:tab w:val="num" w:pos="2143"/>
        </w:tabs>
        <w:ind w:left="2143" w:hanging="360"/>
      </w:pPr>
      <w:rPr>
        <w:rFonts w:ascii="Courier New" w:hAnsi="Courier New" w:cs="Courier New" w:hint="default"/>
      </w:rPr>
    </w:lvl>
    <w:lvl w:ilvl="2">
      <w:start w:val="1"/>
      <w:numFmt w:val="bullet"/>
      <w:lvlText w:val=""/>
      <w:lvlJc w:val="left"/>
      <w:pPr>
        <w:tabs>
          <w:tab w:val="num" w:pos="2863"/>
        </w:tabs>
        <w:ind w:left="2863" w:hanging="360"/>
      </w:pPr>
      <w:rPr>
        <w:rFonts w:ascii="Wingdings" w:hAnsi="Wingdings" w:cs="Wingdings" w:hint="default"/>
      </w:rPr>
    </w:lvl>
    <w:lvl w:ilvl="3">
      <w:start w:val="1"/>
      <w:numFmt w:val="bullet"/>
      <w:lvlText w:val=""/>
      <w:lvlJc w:val="left"/>
      <w:pPr>
        <w:tabs>
          <w:tab w:val="num" w:pos="3583"/>
        </w:tabs>
        <w:ind w:left="3583" w:hanging="360"/>
      </w:pPr>
      <w:rPr>
        <w:rFonts w:ascii="Symbol" w:hAnsi="Symbol" w:cs="Symbol" w:hint="default"/>
      </w:rPr>
    </w:lvl>
    <w:lvl w:ilvl="4">
      <w:start w:val="1"/>
      <w:numFmt w:val="bullet"/>
      <w:lvlText w:val="o"/>
      <w:lvlJc w:val="left"/>
      <w:pPr>
        <w:tabs>
          <w:tab w:val="num" w:pos="4303"/>
        </w:tabs>
        <w:ind w:left="4303" w:hanging="360"/>
      </w:pPr>
      <w:rPr>
        <w:rFonts w:ascii="Courier New" w:hAnsi="Courier New" w:cs="Courier New" w:hint="default"/>
      </w:rPr>
    </w:lvl>
    <w:lvl w:ilvl="5">
      <w:start w:val="1"/>
      <w:numFmt w:val="bullet"/>
      <w:lvlText w:val=""/>
      <w:lvlJc w:val="left"/>
      <w:pPr>
        <w:tabs>
          <w:tab w:val="num" w:pos="5023"/>
        </w:tabs>
        <w:ind w:left="5023" w:hanging="360"/>
      </w:pPr>
      <w:rPr>
        <w:rFonts w:ascii="Wingdings" w:hAnsi="Wingdings" w:cs="Wingdings" w:hint="default"/>
      </w:rPr>
    </w:lvl>
    <w:lvl w:ilvl="6">
      <w:start w:val="1"/>
      <w:numFmt w:val="bullet"/>
      <w:lvlText w:val=""/>
      <w:lvlJc w:val="left"/>
      <w:pPr>
        <w:tabs>
          <w:tab w:val="num" w:pos="5743"/>
        </w:tabs>
        <w:ind w:left="5743" w:hanging="360"/>
      </w:pPr>
      <w:rPr>
        <w:rFonts w:ascii="Symbol" w:hAnsi="Symbol" w:cs="Symbol" w:hint="default"/>
      </w:rPr>
    </w:lvl>
    <w:lvl w:ilvl="7">
      <w:start w:val="1"/>
      <w:numFmt w:val="bullet"/>
      <w:lvlText w:val="o"/>
      <w:lvlJc w:val="left"/>
      <w:pPr>
        <w:tabs>
          <w:tab w:val="num" w:pos="6463"/>
        </w:tabs>
        <w:ind w:left="6463" w:hanging="360"/>
      </w:pPr>
      <w:rPr>
        <w:rFonts w:ascii="Courier New" w:hAnsi="Courier New" w:cs="Courier New" w:hint="default"/>
      </w:rPr>
    </w:lvl>
    <w:lvl w:ilvl="8">
      <w:start w:val="1"/>
      <w:numFmt w:val="bullet"/>
      <w:lvlText w:val=""/>
      <w:lvlJc w:val="left"/>
      <w:pPr>
        <w:tabs>
          <w:tab w:val="num" w:pos="7183"/>
        </w:tabs>
        <w:ind w:left="7183" w:hanging="360"/>
      </w:pPr>
      <w:rPr>
        <w:rFonts w:ascii="Wingdings" w:hAnsi="Wingdings" w:cs="Wingdings" w:hint="default"/>
      </w:rPr>
    </w:lvl>
  </w:abstractNum>
  <w:abstractNum w:abstractNumId="9">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0">
    <w:lvl w:ilvl="0">
      <w:start w:val="1"/>
      <w:numFmt w:val="bullet"/>
      <w:lvlText w:val=""/>
      <w:lvlJc w:val="left"/>
      <w:pPr>
        <w:tabs>
          <w:tab w:val="num" w:pos="1423"/>
        </w:tabs>
        <w:ind w:left="1423" w:hanging="360"/>
      </w:pPr>
      <w:rPr>
        <w:rFonts w:ascii="Wingdings" w:hAnsi="Wingdings" w:cs="Wingdings" w:hint="default"/>
      </w:rPr>
    </w:lvl>
    <w:lvl w:ilvl="1">
      <w:start w:val="1"/>
      <w:numFmt w:val="bullet"/>
      <w:lvlText w:val="o"/>
      <w:lvlJc w:val="left"/>
      <w:pPr>
        <w:tabs>
          <w:tab w:val="num" w:pos="2143"/>
        </w:tabs>
        <w:ind w:left="2143" w:hanging="360"/>
      </w:pPr>
      <w:rPr>
        <w:rFonts w:ascii="Courier New" w:hAnsi="Courier New" w:cs="Courier New" w:hint="default"/>
      </w:rPr>
    </w:lvl>
    <w:lvl w:ilvl="2">
      <w:start w:val="1"/>
      <w:numFmt w:val="bullet"/>
      <w:lvlText w:val=""/>
      <w:lvlJc w:val="left"/>
      <w:pPr>
        <w:tabs>
          <w:tab w:val="num" w:pos="2863"/>
        </w:tabs>
        <w:ind w:left="2863" w:hanging="360"/>
      </w:pPr>
      <w:rPr>
        <w:rFonts w:ascii="Wingdings" w:hAnsi="Wingdings" w:cs="Wingdings" w:hint="default"/>
      </w:rPr>
    </w:lvl>
    <w:lvl w:ilvl="3">
      <w:start w:val="1"/>
      <w:numFmt w:val="bullet"/>
      <w:lvlText w:val=""/>
      <w:lvlJc w:val="left"/>
      <w:pPr>
        <w:tabs>
          <w:tab w:val="num" w:pos="3583"/>
        </w:tabs>
        <w:ind w:left="3583" w:hanging="360"/>
      </w:pPr>
      <w:rPr>
        <w:rFonts w:ascii="Symbol" w:hAnsi="Symbol" w:cs="Symbol" w:hint="default"/>
      </w:rPr>
    </w:lvl>
    <w:lvl w:ilvl="4">
      <w:start w:val="1"/>
      <w:numFmt w:val="bullet"/>
      <w:lvlText w:val="o"/>
      <w:lvlJc w:val="left"/>
      <w:pPr>
        <w:tabs>
          <w:tab w:val="num" w:pos="4303"/>
        </w:tabs>
        <w:ind w:left="4303" w:hanging="360"/>
      </w:pPr>
      <w:rPr>
        <w:rFonts w:ascii="Courier New" w:hAnsi="Courier New" w:cs="Courier New" w:hint="default"/>
      </w:rPr>
    </w:lvl>
    <w:lvl w:ilvl="5">
      <w:start w:val="1"/>
      <w:numFmt w:val="bullet"/>
      <w:lvlText w:val=""/>
      <w:lvlJc w:val="left"/>
      <w:pPr>
        <w:tabs>
          <w:tab w:val="num" w:pos="5023"/>
        </w:tabs>
        <w:ind w:left="5023" w:hanging="360"/>
      </w:pPr>
      <w:rPr>
        <w:rFonts w:ascii="Wingdings" w:hAnsi="Wingdings" w:cs="Wingdings" w:hint="default"/>
      </w:rPr>
    </w:lvl>
    <w:lvl w:ilvl="6">
      <w:start w:val="1"/>
      <w:numFmt w:val="bullet"/>
      <w:lvlText w:val=""/>
      <w:lvlJc w:val="left"/>
      <w:pPr>
        <w:tabs>
          <w:tab w:val="num" w:pos="5743"/>
        </w:tabs>
        <w:ind w:left="5743" w:hanging="360"/>
      </w:pPr>
      <w:rPr>
        <w:rFonts w:ascii="Symbol" w:hAnsi="Symbol" w:cs="Symbol" w:hint="default"/>
      </w:rPr>
    </w:lvl>
    <w:lvl w:ilvl="7">
      <w:start w:val="1"/>
      <w:numFmt w:val="bullet"/>
      <w:lvlText w:val="o"/>
      <w:lvlJc w:val="left"/>
      <w:pPr>
        <w:tabs>
          <w:tab w:val="num" w:pos="6463"/>
        </w:tabs>
        <w:ind w:left="6463" w:hanging="360"/>
      </w:pPr>
      <w:rPr>
        <w:rFonts w:ascii="Courier New" w:hAnsi="Courier New" w:cs="Courier New" w:hint="default"/>
      </w:rPr>
    </w:lvl>
    <w:lvl w:ilvl="8">
      <w:start w:val="1"/>
      <w:numFmt w:val="bullet"/>
      <w:lvlText w:val=""/>
      <w:lvlJc w:val="left"/>
      <w:pPr>
        <w:tabs>
          <w:tab w:val="num" w:pos="7183"/>
        </w:tabs>
        <w:ind w:left="7183" w:hanging="360"/>
      </w:pPr>
      <w:rPr>
        <w:rFonts w:ascii="Wingdings" w:hAnsi="Wingdings" w:cs="Wingdings" w:hint="default"/>
      </w:rPr>
    </w:lvl>
  </w:abstractNum>
  <w:abstractNum w:abstractNumId="11">
    <w:lvl w:ilvl="0">
      <w:start w:val="1"/>
      <w:numFmt w:val="bullet"/>
      <w:lvlText w:val=""/>
      <w:lvlJc w:val="left"/>
      <w:pPr>
        <w:tabs>
          <w:tab w:val="num" w:pos="1423"/>
        </w:tabs>
        <w:ind w:left="1423" w:hanging="360"/>
      </w:pPr>
      <w:rPr>
        <w:rFonts w:ascii="Wingdings" w:hAnsi="Wingdings" w:cs="Wingdings" w:hint="default"/>
      </w:rPr>
    </w:lvl>
    <w:lvl w:ilvl="1">
      <w:start w:val="1"/>
      <w:numFmt w:val="bullet"/>
      <w:lvlText w:val="o"/>
      <w:lvlJc w:val="left"/>
      <w:pPr>
        <w:tabs>
          <w:tab w:val="num" w:pos="2143"/>
        </w:tabs>
        <w:ind w:left="2143" w:hanging="360"/>
      </w:pPr>
      <w:rPr>
        <w:rFonts w:ascii="Courier New" w:hAnsi="Courier New" w:cs="Courier New" w:hint="default"/>
      </w:rPr>
    </w:lvl>
    <w:lvl w:ilvl="2">
      <w:start w:val="1"/>
      <w:numFmt w:val="bullet"/>
      <w:lvlText w:val=""/>
      <w:lvlJc w:val="left"/>
      <w:pPr>
        <w:tabs>
          <w:tab w:val="num" w:pos="2863"/>
        </w:tabs>
        <w:ind w:left="2863" w:hanging="360"/>
      </w:pPr>
      <w:rPr>
        <w:rFonts w:ascii="Wingdings" w:hAnsi="Wingdings" w:cs="Wingdings" w:hint="default"/>
      </w:rPr>
    </w:lvl>
    <w:lvl w:ilvl="3">
      <w:start w:val="1"/>
      <w:numFmt w:val="bullet"/>
      <w:lvlText w:val=""/>
      <w:lvlJc w:val="left"/>
      <w:pPr>
        <w:tabs>
          <w:tab w:val="num" w:pos="3583"/>
        </w:tabs>
        <w:ind w:left="3583" w:hanging="360"/>
      </w:pPr>
      <w:rPr>
        <w:rFonts w:ascii="Symbol" w:hAnsi="Symbol" w:cs="Symbol" w:hint="default"/>
      </w:rPr>
    </w:lvl>
    <w:lvl w:ilvl="4">
      <w:start w:val="1"/>
      <w:numFmt w:val="bullet"/>
      <w:lvlText w:val="o"/>
      <w:lvlJc w:val="left"/>
      <w:pPr>
        <w:tabs>
          <w:tab w:val="num" w:pos="4303"/>
        </w:tabs>
        <w:ind w:left="4303" w:hanging="360"/>
      </w:pPr>
      <w:rPr>
        <w:rFonts w:ascii="Courier New" w:hAnsi="Courier New" w:cs="Courier New" w:hint="default"/>
      </w:rPr>
    </w:lvl>
    <w:lvl w:ilvl="5">
      <w:start w:val="1"/>
      <w:numFmt w:val="bullet"/>
      <w:lvlText w:val=""/>
      <w:lvlJc w:val="left"/>
      <w:pPr>
        <w:tabs>
          <w:tab w:val="num" w:pos="5023"/>
        </w:tabs>
        <w:ind w:left="5023" w:hanging="360"/>
      </w:pPr>
      <w:rPr>
        <w:rFonts w:ascii="Wingdings" w:hAnsi="Wingdings" w:cs="Wingdings" w:hint="default"/>
      </w:rPr>
    </w:lvl>
    <w:lvl w:ilvl="6">
      <w:start w:val="1"/>
      <w:numFmt w:val="bullet"/>
      <w:lvlText w:val=""/>
      <w:lvlJc w:val="left"/>
      <w:pPr>
        <w:tabs>
          <w:tab w:val="num" w:pos="5743"/>
        </w:tabs>
        <w:ind w:left="5743" w:hanging="360"/>
      </w:pPr>
      <w:rPr>
        <w:rFonts w:ascii="Symbol" w:hAnsi="Symbol" w:cs="Symbol" w:hint="default"/>
      </w:rPr>
    </w:lvl>
    <w:lvl w:ilvl="7">
      <w:start w:val="1"/>
      <w:numFmt w:val="bullet"/>
      <w:lvlText w:val="o"/>
      <w:lvlJc w:val="left"/>
      <w:pPr>
        <w:tabs>
          <w:tab w:val="num" w:pos="6463"/>
        </w:tabs>
        <w:ind w:left="6463" w:hanging="360"/>
      </w:pPr>
      <w:rPr>
        <w:rFonts w:ascii="Courier New" w:hAnsi="Courier New" w:cs="Courier New" w:hint="default"/>
      </w:rPr>
    </w:lvl>
    <w:lvl w:ilvl="8">
      <w:start w:val="1"/>
      <w:numFmt w:val="bullet"/>
      <w:lvlText w:val=""/>
      <w:lvlJc w:val="left"/>
      <w:pPr>
        <w:tabs>
          <w:tab w:val="num" w:pos="7183"/>
        </w:tabs>
        <w:ind w:left="7183" w:hanging="360"/>
      </w:pPr>
      <w:rPr>
        <w:rFonts w:ascii="Wingdings" w:hAnsi="Wingdings" w:cs="Wingdings" w:hint="default"/>
      </w:rPr>
    </w:lvl>
  </w:abstractNum>
  <w:abstractNum w:abstractNumId="12">
    <w:lvl w:ilvl="0">
      <w:start w:val="1"/>
      <w:numFmt w:val="bullet"/>
      <w:lvlText w:val=""/>
      <w:lvlJc w:val="left"/>
      <w:pPr>
        <w:tabs>
          <w:tab w:val="num" w:pos="1423"/>
        </w:tabs>
        <w:ind w:left="1423" w:hanging="360"/>
      </w:pPr>
      <w:rPr>
        <w:rFonts w:ascii="Wingdings" w:hAnsi="Wingdings" w:cs="Wingdings" w:hint="default"/>
      </w:rPr>
    </w:lvl>
    <w:lvl w:ilvl="1">
      <w:start w:val="1"/>
      <w:numFmt w:val="bullet"/>
      <w:lvlText w:val="o"/>
      <w:lvlJc w:val="left"/>
      <w:pPr>
        <w:tabs>
          <w:tab w:val="num" w:pos="2143"/>
        </w:tabs>
        <w:ind w:left="2143" w:hanging="360"/>
      </w:pPr>
      <w:rPr>
        <w:rFonts w:ascii="Courier New" w:hAnsi="Courier New" w:cs="Courier New" w:hint="default"/>
      </w:rPr>
    </w:lvl>
    <w:lvl w:ilvl="2">
      <w:start w:val="1"/>
      <w:numFmt w:val="bullet"/>
      <w:lvlText w:val=""/>
      <w:lvlJc w:val="left"/>
      <w:pPr>
        <w:tabs>
          <w:tab w:val="num" w:pos="2863"/>
        </w:tabs>
        <w:ind w:left="2863" w:hanging="360"/>
      </w:pPr>
      <w:rPr>
        <w:rFonts w:ascii="Wingdings" w:hAnsi="Wingdings" w:cs="Wingdings" w:hint="default"/>
      </w:rPr>
    </w:lvl>
    <w:lvl w:ilvl="3">
      <w:start w:val="1"/>
      <w:numFmt w:val="bullet"/>
      <w:lvlText w:val=""/>
      <w:lvlJc w:val="left"/>
      <w:pPr>
        <w:tabs>
          <w:tab w:val="num" w:pos="3583"/>
        </w:tabs>
        <w:ind w:left="3583" w:hanging="360"/>
      </w:pPr>
      <w:rPr>
        <w:rFonts w:ascii="Symbol" w:hAnsi="Symbol" w:cs="Symbol" w:hint="default"/>
      </w:rPr>
    </w:lvl>
    <w:lvl w:ilvl="4">
      <w:start w:val="1"/>
      <w:numFmt w:val="bullet"/>
      <w:lvlText w:val="o"/>
      <w:lvlJc w:val="left"/>
      <w:pPr>
        <w:tabs>
          <w:tab w:val="num" w:pos="4303"/>
        </w:tabs>
        <w:ind w:left="4303" w:hanging="360"/>
      </w:pPr>
      <w:rPr>
        <w:rFonts w:ascii="Courier New" w:hAnsi="Courier New" w:cs="Courier New" w:hint="default"/>
      </w:rPr>
    </w:lvl>
    <w:lvl w:ilvl="5">
      <w:start w:val="1"/>
      <w:numFmt w:val="bullet"/>
      <w:lvlText w:val=""/>
      <w:lvlJc w:val="left"/>
      <w:pPr>
        <w:tabs>
          <w:tab w:val="num" w:pos="5023"/>
        </w:tabs>
        <w:ind w:left="5023" w:hanging="360"/>
      </w:pPr>
      <w:rPr>
        <w:rFonts w:ascii="Wingdings" w:hAnsi="Wingdings" w:cs="Wingdings" w:hint="default"/>
      </w:rPr>
    </w:lvl>
    <w:lvl w:ilvl="6">
      <w:start w:val="1"/>
      <w:numFmt w:val="bullet"/>
      <w:lvlText w:val=""/>
      <w:lvlJc w:val="left"/>
      <w:pPr>
        <w:tabs>
          <w:tab w:val="num" w:pos="5743"/>
        </w:tabs>
        <w:ind w:left="5743" w:hanging="360"/>
      </w:pPr>
      <w:rPr>
        <w:rFonts w:ascii="Symbol" w:hAnsi="Symbol" w:cs="Symbol" w:hint="default"/>
      </w:rPr>
    </w:lvl>
    <w:lvl w:ilvl="7">
      <w:start w:val="1"/>
      <w:numFmt w:val="bullet"/>
      <w:lvlText w:val="o"/>
      <w:lvlJc w:val="left"/>
      <w:pPr>
        <w:tabs>
          <w:tab w:val="num" w:pos="6463"/>
        </w:tabs>
        <w:ind w:left="6463" w:hanging="360"/>
      </w:pPr>
      <w:rPr>
        <w:rFonts w:ascii="Courier New" w:hAnsi="Courier New" w:cs="Courier New" w:hint="default"/>
      </w:rPr>
    </w:lvl>
    <w:lvl w:ilvl="8">
      <w:start w:val="1"/>
      <w:numFmt w:val="bullet"/>
      <w:lvlText w:val=""/>
      <w:lvlJc w:val="left"/>
      <w:pPr>
        <w:tabs>
          <w:tab w:val="num" w:pos="7183"/>
        </w:tabs>
        <w:ind w:left="7183" w:hanging="360"/>
      </w:pPr>
      <w:rPr>
        <w:rFonts w:ascii="Wingdings" w:hAnsi="Wingdings" w:cs="Wingdings" w:hint="default"/>
      </w:rPr>
    </w:lvl>
  </w:abstractNum>
  <w:abstractNum w:abstractNumId="13">
    <w:lvl w:ilvl="0">
      <w:start w:val="1"/>
      <w:numFmt w:val="bullet"/>
      <w:lvlText w:val=""/>
      <w:lvlJc w:val="left"/>
      <w:pPr>
        <w:tabs>
          <w:tab w:val="num" w:pos="1423"/>
        </w:tabs>
        <w:ind w:left="1423" w:hanging="360"/>
      </w:pPr>
      <w:rPr>
        <w:rFonts w:ascii="Wingdings" w:hAnsi="Wingdings" w:cs="Wingdings" w:hint="default"/>
      </w:rPr>
    </w:lvl>
    <w:lvl w:ilvl="1">
      <w:start w:val="1"/>
      <w:numFmt w:val="bullet"/>
      <w:lvlText w:val="o"/>
      <w:lvlJc w:val="left"/>
      <w:pPr>
        <w:tabs>
          <w:tab w:val="num" w:pos="2143"/>
        </w:tabs>
        <w:ind w:left="2143" w:hanging="360"/>
      </w:pPr>
      <w:rPr>
        <w:rFonts w:ascii="Courier New" w:hAnsi="Courier New" w:cs="Courier New" w:hint="default"/>
      </w:rPr>
    </w:lvl>
    <w:lvl w:ilvl="2">
      <w:start w:val="1"/>
      <w:numFmt w:val="bullet"/>
      <w:lvlText w:val=""/>
      <w:lvlJc w:val="left"/>
      <w:pPr>
        <w:tabs>
          <w:tab w:val="num" w:pos="2863"/>
        </w:tabs>
        <w:ind w:left="2863" w:hanging="360"/>
      </w:pPr>
      <w:rPr>
        <w:rFonts w:ascii="Wingdings" w:hAnsi="Wingdings" w:cs="Wingdings" w:hint="default"/>
      </w:rPr>
    </w:lvl>
    <w:lvl w:ilvl="3">
      <w:start w:val="1"/>
      <w:numFmt w:val="bullet"/>
      <w:lvlText w:val=""/>
      <w:lvlJc w:val="left"/>
      <w:pPr>
        <w:tabs>
          <w:tab w:val="num" w:pos="3583"/>
        </w:tabs>
        <w:ind w:left="3583" w:hanging="360"/>
      </w:pPr>
      <w:rPr>
        <w:rFonts w:ascii="Symbol" w:hAnsi="Symbol" w:cs="Symbol" w:hint="default"/>
      </w:rPr>
    </w:lvl>
    <w:lvl w:ilvl="4">
      <w:start w:val="1"/>
      <w:numFmt w:val="bullet"/>
      <w:lvlText w:val="o"/>
      <w:lvlJc w:val="left"/>
      <w:pPr>
        <w:tabs>
          <w:tab w:val="num" w:pos="4303"/>
        </w:tabs>
        <w:ind w:left="4303" w:hanging="360"/>
      </w:pPr>
      <w:rPr>
        <w:rFonts w:ascii="Courier New" w:hAnsi="Courier New" w:cs="Courier New" w:hint="default"/>
      </w:rPr>
    </w:lvl>
    <w:lvl w:ilvl="5">
      <w:start w:val="1"/>
      <w:numFmt w:val="bullet"/>
      <w:lvlText w:val=""/>
      <w:lvlJc w:val="left"/>
      <w:pPr>
        <w:tabs>
          <w:tab w:val="num" w:pos="5023"/>
        </w:tabs>
        <w:ind w:left="5023" w:hanging="360"/>
      </w:pPr>
      <w:rPr>
        <w:rFonts w:ascii="Wingdings" w:hAnsi="Wingdings" w:cs="Wingdings" w:hint="default"/>
      </w:rPr>
    </w:lvl>
    <w:lvl w:ilvl="6">
      <w:start w:val="1"/>
      <w:numFmt w:val="bullet"/>
      <w:lvlText w:val=""/>
      <w:lvlJc w:val="left"/>
      <w:pPr>
        <w:tabs>
          <w:tab w:val="num" w:pos="5743"/>
        </w:tabs>
        <w:ind w:left="5743" w:hanging="360"/>
      </w:pPr>
      <w:rPr>
        <w:rFonts w:ascii="Symbol" w:hAnsi="Symbol" w:cs="Symbol" w:hint="default"/>
      </w:rPr>
    </w:lvl>
    <w:lvl w:ilvl="7">
      <w:start w:val="1"/>
      <w:numFmt w:val="bullet"/>
      <w:lvlText w:val="o"/>
      <w:lvlJc w:val="left"/>
      <w:pPr>
        <w:tabs>
          <w:tab w:val="num" w:pos="6463"/>
        </w:tabs>
        <w:ind w:left="6463" w:hanging="360"/>
      </w:pPr>
      <w:rPr>
        <w:rFonts w:ascii="Courier New" w:hAnsi="Courier New" w:cs="Courier New" w:hint="default"/>
      </w:rPr>
    </w:lvl>
    <w:lvl w:ilvl="8">
      <w:start w:val="1"/>
      <w:numFmt w:val="bullet"/>
      <w:lvlText w:val=""/>
      <w:lvlJc w:val="left"/>
      <w:pPr>
        <w:tabs>
          <w:tab w:val="num" w:pos="7183"/>
        </w:tabs>
        <w:ind w:left="7183" w:hanging="360"/>
      </w:pPr>
      <w:rPr>
        <w:rFonts w:ascii="Wingdings" w:hAnsi="Wingdings" w:cs="Wingdings" w:hint="default"/>
      </w:rPr>
    </w:lvl>
  </w:abstractNum>
  <w:abstractNum w:abstractNumId="14">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5">
    <w:lvl w:ilvl="0">
      <w:start w:val="1"/>
      <w:numFmt w:val="bullet"/>
      <w:lvlText w:val=""/>
      <w:lvlJc w:val="left"/>
      <w:pPr>
        <w:tabs>
          <w:tab w:val="num" w:pos="1423"/>
        </w:tabs>
        <w:ind w:left="1423" w:hanging="360"/>
      </w:pPr>
      <w:rPr>
        <w:rFonts w:ascii="Wingdings" w:hAnsi="Wingdings" w:cs="Wingdings" w:hint="default"/>
      </w:rPr>
    </w:lvl>
    <w:lvl w:ilvl="1">
      <w:start w:val="1"/>
      <w:numFmt w:val="bullet"/>
      <w:lvlText w:val="o"/>
      <w:lvlJc w:val="left"/>
      <w:pPr>
        <w:tabs>
          <w:tab w:val="num" w:pos="2143"/>
        </w:tabs>
        <w:ind w:left="2143" w:hanging="360"/>
      </w:pPr>
      <w:rPr>
        <w:rFonts w:ascii="Courier New" w:hAnsi="Courier New" w:cs="Courier New" w:hint="default"/>
      </w:rPr>
    </w:lvl>
    <w:lvl w:ilvl="2">
      <w:start w:val="1"/>
      <w:numFmt w:val="bullet"/>
      <w:lvlText w:val=""/>
      <w:lvlJc w:val="left"/>
      <w:pPr>
        <w:tabs>
          <w:tab w:val="num" w:pos="2863"/>
        </w:tabs>
        <w:ind w:left="2863" w:hanging="360"/>
      </w:pPr>
      <w:rPr>
        <w:rFonts w:ascii="Wingdings" w:hAnsi="Wingdings" w:cs="Wingdings" w:hint="default"/>
      </w:rPr>
    </w:lvl>
    <w:lvl w:ilvl="3">
      <w:start w:val="1"/>
      <w:numFmt w:val="bullet"/>
      <w:lvlText w:val=""/>
      <w:lvlJc w:val="left"/>
      <w:pPr>
        <w:tabs>
          <w:tab w:val="num" w:pos="3583"/>
        </w:tabs>
        <w:ind w:left="3583" w:hanging="360"/>
      </w:pPr>
      <w:rPr>
        <w:rFonts w:ascii="Symbol" w:hAnsi="Symbol" w:cs="Symbol" w:hint="default"/>
      </w:rPr>
    </w:lvl>
    <w:lvl w:ilvl="4">
      <w:start w:val="1"/>
      <w:numFmt w:val="bullet"/>
      <w:lvlText w:val="o"/>
      <w:lvlJc w:val="left"/>
      <w:pPr>
        <w:tabs>
          <w:tab w:val="num" w:pos="4303"/>
        </w:tabs>
        <w:ind w:left="4303" w:hanging="360"/>
      </w:pPr>
      <w:rPr>
        <w:rFonts w:ascii="Courier New" w:hAnsi="Courier New" w:cs="Courier New" w:hint="default"/>
      </w:rPr>
    </w:lvl>
    <w:lvl w:ilvl="5">
      <w:start w:val="1"/>
      <w:numFmt w:val="bullet"/>
      <w:lvlText w:val=""/>
      <w:lvlJc w:val="left"/>
      <w:pPr>
        <w:tabs>
          <w:tab w:val="num" w:pos="5023"/>
        </w:tabs>
        <w:ind w:left="5023" w:hanging="360"/>
      </w:pPr>
      <w:rPr>
        <w:rFonts w:ascii="Wingdings" w:hAnsi="Wingdings" w:cs="Wingdings" w:hint="default"/>
      </w:rPr>
    </w:lvl>
    <w:lvl w:ilvl="6">
      <w:start w:val="1"/>
      <w:numFmt w:val="bullet"/>
      <w:lvlText w:val=""/>
      <w:lvlJc w:val="left"/>
      <w:pPr>
        <w:tabs>
          <w:tab w:val="num" w:pos="5743"/>
        </w:tabs>
        <w:ind w:left="5743" w:hanging="360"/>
      </w:pPr>
      <w:rPr>
        <w:rFonts w:ascii="Symbol" w:hAnsi="Symbol" w:cs="Symbol" w:hint="default"/>
      </w:rPr>
    </w:lvl>
    <w:lvl w:ilvl="7">
      <w:start w:val="1"/>
      <w:numFmt w:val="bullet"/>
      <w:lvlText w:val="o"/>
      <w:lvlJc w:val="left"/>
      <w:pPr>
        <w:tabs>
          <w:tab w:val="num" w:pos="6463"/>
        </w:tabs>
        <w:ind w:left="6463" w:hanging="360"/>
      </w:pPr>
      <w:rPr>
        <w:rFonts w:ascii="Courier New" w:hAnsi="Courier New" w:cs="Courier New" w:hint="default"/>
      </w:rPr>
    </w:lvl>
    <w:lvl w:ilvl="8">
      <w:start w:val="1"/>
      <w:numFmt w:val="bullet"/>
      <w:lvlText w:val=""/>
      <w:lvlJc w:val="left"/>
      <w:pPr>
        <w:tabs>
          <w:tab w:val="num" w:pos="7183"/>
        </w:tabs>
        <w:ind w:left="7183" w:hanging="360"/>
      </w:pPr>
      <w:rPr>
        <w:rFonts w:ascii="Wingdings" w:hAnsi="Wingdings" w:cs="Wingdings" w:hint="default"/>
      </w:rPr>
    </w:lvl>
  </w:abstractNum>
  <w:abstractNum w:abstractNumId="16">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7">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8">
    <w:lvl w:ilvl="0">
      <w:start w:val="1"/>
      <w:numFmt w:val="bullet"/>
      <w:lvlText w:val=""/>
      <w:lvlJc w:val="left"/>
      <w:pPr>
        <w:tabs>
          <w:tab w:val="num" w:pos="1423"/>
        </w:tabs>
        <w:ind w:left="1423" w:hanging="360"/>
      </w:pPr>
      <w:rPr>
        <w:rFonts w:ascii="Wingdings" w:hAnsi="Wingdings" w:cs="Wingdings" w:hint="default"/>
      </w:rPr>
    </w:lvl>
    <w:lvl w:ilvl="1">
      <w:start w:val="1"/>
      <w:numFmt w:val="bullet"/>
      <w:lvlText w:val="o"/>
      <w:lvlJc w:val="left"/>
      <w:pPr>
        <w:tabs>
          <w:tab w:val="num" w:pos="2143"/>
        </w:tabs>
        <w:ind w:left="2143" w:hanging="360"/>
      </w:pPr>
      <w:rPr>
        <w:rFonts w:ascii="Courier New" w:hAnsi="Courier New" w:cs="Courier New" w:hint="default"/>
      </w:rPr>
    </w:lvl>
    <w:lvl w:ilvl="2">
      <w:start w:val="1"/>
      <w:numFmt w:val="bullet"/>
      <w:lvlText w:val=""/>
      <w:lvlJc w:val="left"/>
      <w:pPr>
        <w:tabs>
          <w:tab w:val="num" w:pos="2863"/>
        </w:tabs>
        <w:ind w:left="2863" w:hanging="360"/>
      </w:pPr>
      <w:rPr>
        <w:rFonts w:ascii="Wingdings" w:hAnsi="Wingdings" w:cs="Wingdings" w:hint="default"/>
      </w:rPr>
    </w:lvl>
    <w:lvl w:ilvl="3">
      <w:start w:val="1"/>
      <w:numFmt w:val="bullet"/>
      <w:lvlText w:val=""/>
      <w:lvlJc w:val="left"/>
      <w:pPr>
        <w:tabs>
          <w:tab w:val="num" w:pos="3583"/>
        </w:tabs>
        <w:ind w:left="3583" w:hanging="360"/>
      </w:pPr>
      <w:rPr>
        <w:rFonts w:ascii="Symbol" w:hAnsi="Symbol" w:cs="Symbol" w:hint="default"/>
      </w:rPr>
    </w:lvl>
    <w:lvl w:ilvl="4">
      <w:start w:val="1"/>
      <w:numFmt w:val="bullet"/>
      <w:lvlText w:val="o"/>
      <w:lvlJc w:val="left"/>
      <w:pPr>
        <w:tabs>
          <w:tab w:val="num" w:pos="4303"/>
        </w:tabs>
        <w:ind w:left="4303" w:hanging="360"/>
      </w:pPr>
      <w:rPr>
        <w:rFonts w:ascii="Courier New" w:hAnsi="Courier New" w:cs="Courier New" w:hint="default"/>
      </w:rPr>
    </w:lvl>
    <w:lvl w:ilvl="5">
      <w:start w:val="1"/>
      <w:numFmt w:val="bullet"/>
      <w:lvlText w:val=""/>
      <w:lvlJc w:val="left"/>
      <w:pPr>
        <w:tabs>
          <w:tab w:val="num" w:pos="5023"/>
        </w:tabs>
        <w:ind w:left="5023" w:hanging="360"/>
      </w:pPr>
      <w:rPr>
        <w:rFonts w:ascii="Wingdings" w:hAnsi="Wingdings" w:cs="Wingdings" w:hint="default"/>
      </w:rPr>
    </w:lvl>
    <w:lvl w:ilvl="6">
      <w:start w:val="1"/>
      <w:numFmt w:val="bullet"/>
      <w:lvlText w:val=""/>
      <w:lvlJc w:val="left"/>
      <w:pPr>
        <w:tabs>
          <w:tab w:val="num" w:pos="5743"/>
        </w:tabs>
        <w:ind w:left="5743" w:hanging="360"/>
      </w:pPr>
      <w:rPr>
        <w:rFonts w:ascii="Symbol" w:hAnsi="Symbol" w:cs="Symbol" w:hint="default"/>
      </w:rPr>
    </w:lvl>
    <w:lvl w:ilvl="7">
      <w:start w:val="1"/>
      <w:numFmt w:val="bullet"/>
      <w:lvlText w:val="o"/>
      <w:lvlJc w:val="left"/>
      <w:pPr>
        <w:tabs>
          <w:tab w:val="num" w:pos="6463"/>
        </w:tabs>
        <w:ind w:left="6463" w:hanging="360"/>
      </w:pPr>
      <w:rPr>
        <w:rFonts w:ascii="Courier New" w:hAnsi="Courier New" w:cs="Courier New" w:hint="default"/>
      </w:rPr>
    </w:lvl>
    <w:lvl w:ilvl="8">
      <w:start w:val="1"/>
      <w:numFmt w:val="bullet"/>
      <w:lvlText w:val=""/>
      <w:lvlJc w:val="left"/>
      <w:pPr>
        <w:tabs>
          <w:tab w:val="num" w:pos="7183"/>
        </w:tabs>
        <w:ind w:left="7183" w:hanging="360"/>
      </w:pPr>
      <w:rPr>
        <w:rFonts w:ascii="Wingdings" w:hAnsi="Wingdings" w:cs="Wingdings" w:hint="default"/>
      </w:rPr>
    </w:lvl>
  </w:abstractNum>
  <w:abstractNum w:abstractNumId="19">
    <w:lvl w:ilvl="0">
      <w:start w:val="1"/>
      <w:numFmt w:val="bullet"/>
      <w:lvlText w:val=""/>
      <w:lvlJc w:val="left"/>
      <w:pPr>
        <w:tabs>
          <w:tab w:val="num" w:pos="1423"/>
        </w:tabs>
        <w:ind w:left="1423" w:hanging="360"/>
      </w:pPr>
      <w:rPr>
        <w:rFonts w:ascii="Wingdings" w:hAnsi="Wingdings" w:cs="Wingdings" w:hint="default"/>
      </w:rPr>
    </w:lvl>
    <w:lvl w:ilvl="1">
      <w:start w:val="1"/>
      <w:numFmt w:val="bullet"/>
      <w:lvlText w:val="o"/>
      <w:lvlJc w:val="left"/>
      <w:pPr>
        <w:tabs>
          <w:tab w:val="num" w:pos="2143"/>
        </w:tabs>
        <w:ind w:left="2143" w:hanging="360"/>
      </w:pPr>
      <w:rPr>
        <w:rFonts w:ascii="Courier New" w:hAnsi="Courier New" w:cs="Courier New" w:hint="default"/>
      </w:rPr>
    </w:lvl>
    <w:lvl w:ilvl="2">
      <w:start w:val="1"/>
      <w:numFmt w:val="bullet"/>
      <w:lvlText w:val=""/>
      <w:lvlJc w:val="left"/>
      <w:pPr>
        <w:tabs>
          <w:tab w:val="num" w:pos="2863"/>
        </w:tabs>
        <w:ind w:left="2863" w:hanging="360"/>
      </w:pPr>
      <w:rPr>
        <w:rFonts w:ascii="Wingdings" w:hAnsi="Wingdings" w:cs="Wingdings" w:hint="default"/>
      </w:rPr>
    </w:lvl>
    <w:lvl w:ilvl="3">
      <w:start w:val="1"/>
      <w:numFmt w:val="bullet"/>
      <w:lvlText w:val=""/>
      <w:lvlJc w:val="left"/>
      <w:pPr>
        <w:tabs>
          <w:tab w:val="num" w:pos="3583"/>
        </w:tabs>
        <w:ind w:left="3583" w:hanging="360"/>
      </w:pPr>
      <w:rPr>
        <w:rFonts w:ascii="Symbol" w:hAnsi="Symbol" w:cs="Symbol" w:hint="default"/>
      </w:rPr>
    </w:lvl>
    <w:lvl w:ilvl="4">
      <w:start w:val="1"/>
      <w:numFmt w:val="bullet"/>
      <w:lvlText w:val="o"/>
      <w:lvlJc w:val="left"/>
      <w:pPr>
        <w:tabs>
          <w:tab w:val="num" w:pos="4303"/>
        </w:tabs>
        <w:ind w:left="4303" w:hanging="360"/>
      </w:pPr>
      <w:rPr>
        <w:rFonts w:ascii="Courier New" w:hAnsi="Courier New" w:cs="Courier New" w:hint="default"/>
      </w:rPr>
    </w:lvl>
    <w:lvl w:ilvl="5">
      <w:start w:val="1"/>
      <w:numFmt w:val="bullet"/>
      <w:lvlText w:val=""/>
      <w:lvlJc w:val="left"/>
      <w:pPr>
        <w:tabs>
          <w:tab w:val="num" w:pos="5023"/>
        </w:tabs>
        <w:ind w:left="5023" w:hanging="360"/>
      </w:pPr>
      <w:rPr>
        <w:rFonts w:ascii="Wingdings" w:hAnsi="Wingdings" w:cs="Wingdings" w:hint="default"/>
      </w:rPr>
    </w:lvl>
    <w:lvl w:ilvl="6">
      <w:start w:val="1"/>
      <w:numFmt w:val="bullet"/>
      <w:lvlText w:val=""/>
      <w:lvlJc w:val="left"/>
      <w:pPr>
        <w:tabs>
          <w:tab w:val="num" w:pos="5743"/>
        </w:tabs>
        <w:ind w:left="5743" w:hanging="360"/>
      </w:pPr>
      <w:rPr>
        <w:rFonts w:ascii="Symbol" w:hAnsi="Symbol" w:cs="Symbol" w:hint="default"/>
      </w:rPr>
    </w:lvl>
    <w:lvl w:ilvl="7">
      <w:start w:val="1"/>
      <w:numFmt w:val="bullet"/>
      <w:lvlText w:val="o"/>
      <w:lvlJc w:val="left"/>
      <w:pPr>
        <w:tabs>
          <w:tab w:val="num" w:pos="6463"/>
        </w:tabs>
        <w:ind w:left="6463" w:hanging="360"/>
      </w:pPr>
      <w:rPr>
        <w:rFonts w:ascii="Courier New" w:hAnsi="Courier New" w:cs="Courier New" w:hint="default"/>
      </w:rPr>
    </w:lvl>
    <w:lvl w:ilvl="8">
      <w:start w:val="1"/>
      <w:numFmt w:val="bullet"/>
      <w:lvlText w:val=""/>
      <w:lvlJc w:val="left"/>
      <w:pPr>
        <w:tabs>
          <w:tab w:val="num" w:pos="7183"/>
        </w:tabs>
        <w:ind w:left="7183" w:hanging="360"/>
      </w:pPr>
      <w:rPr>
        <w:rFonts w:ascii="Wingdings" w:hAnsi="Wingdings" w:cs="Wingdings" w:hint="default"/>
      </w:rPr>
    </w:lvl>
  </w:abstractNum>
  <w:abstractNum w:abstractNumId="20">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21">
    <w:lvl w:ilvl="0">
      <w:start w:val="1"/>
      <w:numFmt w:val="bullet"/>
      <w:lvlText w:val=""/>
      <w:lvlJc w:val="left"/>
      <w:pPr>
        <w:tabs>
          <w:tab w:val="num" w:pos="1423"/>
        </w:tabs>
        <w:ind w:left="1423" w:hanging="360"/>
      </w:pPr>
      <w:rPr>
        <w:rFonts w:ascii="Wingdings" w:hAnsi="Wingdings" w:cs="Wingdings" w:hint="default"/>
      </w:rPr>
    </w:lvl>
    <w:lvl w:ilvl="1">
      <w:start w:val="1"/>
      <w:numFmt w:val="bullet"/>
      <w:lvlText w:val=""/>
      <w:lvlJc w:val="left"/>
      <w:pPr>
        <w:tabs>
          <w:tab w:val="num" w:pos="2143"/>
        </w:tabs>
        <w:ind w:left="2143" w:hanging="360"/>
      </w:pPr>
      <w:rPr>
        <w:rFonts w:ascii="Symbol" w:hAnsi="Symbol" w:cs="Symbol" w:hint="default"/>
      </w:rPr>
    </w:lvl>
    <w:lvl w:ilvl="2">
      <w:start w:val="1"/>
      <w:numFmt w:val="upperLetter"/>
      <w:lvlText w:val="%3."/>
      <w:lvlJc w:val="left"/>
      <w:pPr>
        <w:tabs>
          <w:tab w:val="num" w:pos="2863"/>
        </w:tabs>
        <w:ind w:left="2863" w:hanging="360"/>
      </w:pPr>
    </w:lvl>
    <w:lvl w:ilvl="3">
      <w:start w:val="1"/>
      <w:numFmt w:val="bullet"/>
      <w:lvlText w:val=""/>
      <w:lvlJc w:val="left"/>
      <w:pPr>
        <w:tabs>
          <w:tab w:val="num" w:pos="3583"/>
        </w:tabs>
        <w:ind w:left="3583" w:hanging="360"/>
      </w:pPr>
      <w:rPr>
        <w:rFonts w:ascii="Symbol" w:hAnsi="Symbol" w:cs="Symbol" w:hint="default"/>
      </w:rPr>
    </w:lvl>
    <w:lvl w:ilvl="4">
      <w:start w:val="1"/>
      <w:numFmt w:val="bullet"/>
      <w:lvlText w:val="o"/>
      <w:lvlJc w:val="left"/>
      <w:pPr>
        <w:tabs>
          <w:tab w:val="num" w:pos="4303"/>
        </w:tabs>
        <w:ind w:left="4303" w:hanging="360"/>
      </w:pPr>
      <w:rPr>
        <w:rFonts w:ascii="Courier New" w:hAnsi="Courier New" w:cs="Courier New" w:hint="default"/>
      </w:rPr>
    </w:lvl>
    <w:lvl w:ilvl="5">
      <w:start w:val="1"/>
      <w:numFmt w:val="bullet"/>
      <w:lvlText w:val=""/>
      <w:lvlJc w:val="left"/>
      <w:pPr>
        <w:tabs>
          <w:tab w:val="num" w:pos="5023"/>
        </w:tabs>
        <w:ind w:left="5023" w:hanging="360"/>
      </w:pPr>
      <w:rPr>
        <w:rFonts w:ascii="Wingdings" w:hAnsi="Wingdings" w:cs="Wingdings" w:hint="default"/>
      </w:rPr>
    </w:lvl>
    <w:lvl w:ilvl="6">
      <w:start w:val="1"/>
      <w:numFmt w:val="bullet"/>
      <w:lvlText w:val=""/>
      <w:lvlJc w:val="left"/>
      <w:pPr>
        <w:tabs>
          <w:tab w:val="num" w:pos="5743"/>
        </w:tabs>
        <w:ind w:left="5743" w:hanging="360"/>
      </w:pPr>
      <w:rPr>
        <w:rFonts w:ascii="Symbol" w:hAnsi="Symbol" w:cs="Symbol" w:hint="default"/>
      </w:rPr>
    </w:lvl>
    <w:lvl w:ilvl="7">
      <w:start w:val="1"/>
      <w:numFmt w:val="bullet"/>
      <w:lvlText w:val="o"/>
      <w:lvlJc w:val="left"/>
      <w:pPr>
        <w:tabs>
          <w:tab w:val="num" w:pos="6463"/>
        </w:tabs>
        <w:ind w:left="6463" w:hanging="360"/>
      </w:pPr>
      <w:rPr>
        <w:rFonts w:ascii="Courier New" w:hAnsi="Courier New" w:cs="Courier New" w:hint="default"/>
      </w:rPr>
    </w:lvl>
    <w:lvl w:ilvl="8">
      <w:start w:val="1"/>
      <w:numFmt w:val="bullet"/>
      <w:lvlText w:val=""/>
      <w:lvlJc w:val="left"/>
      <w:pPr>
        <w:tabs>
          <w:tab w:val="num" w:pos="7183"/>
        </w:tabs>
        <w:ind w:left="7183" w:hanging="360"/>
      </w:pPr>
      <w:rPr>
        <w:rFonts w:ascii="Wingdings" w:hAnsi="Wingdings" w:cs="Wingdings" w:hint="default"/>
      </w:rPr>
    </w:lvl>
  </w:abstractNum>
  <w:abstractNum w:abstractNumId="22">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23">
    <w:lvl w:ilvl="0">
      <w:start w:val="1"/>
      <w:numFmt w:val="bullet"/>
      <w:lvlText w:val=""/>
      <w:lvlJc w:val="left"/>
      <w:pPr>
        <w:tabs>
          <w:tab w:val="num" w:pos="1423"/>
        </w:tabs>
        <w:ind w:left="1423" w:hanging="360"/>
      </w:pPr>
      <w:rPr>
        <w:rFonts w:ascii="Wingdings" w:hAnsi="Wingdings" w:cs="Wingdings" w:hint="default"/>
      </w:rPr>
    </w:lvl>
    <w:lvl w:ilvl="1">
      <w:start w:val="1"/>
      <w:numFmt w:val="bullet"/>
      <w:lvlText w:val=""/>
      <w:lvlJc w:val="left"/>
      <w:pPr>
        <w:tabs>
          <w:tab w:val="num" w:pos="2143"/>
        </w:tabs>
        <w:ind w:left="2143" w:hanging="360"/>
      </w:pPr>
      <w:rPr>
        <w:rFonts w:ascii="Symbol" w:hAnsi="Symbol" w:cs="Symbol" w:hint="default"/>
      </w:rPr>
    </w:lvl>
    <w:lvl w:ilvl="2">
      <w:start w:val="1"/>
      <w:numFmt w:val="bullet"/>
      <w:lvlText w:val=""/>
      <w:lvlJc w:val="left"/>
      <w:pPr>
        <w:tabs>
          <w:tab w:val="num" w:pos="2863"/>
        </w:tabs>
        <w:ind w:left="2863" w:hanging="360"/>
      </w:pPr>
      <w:rPr>
        <w:rFonts w:ascii="Wingdings" w:hAnsi="Wingdings" w:cs="Wingdings" w:hint="default"/>
      </w:rPr>
    </w:lvl>
    <w:lvl w:ilvl="3">
      <w:start w:val="1"/>
      <w:numFmt w:val="bullet"/>
      <w:lvlText w:val=""/>
      <w:lvlJc w:val="left"/>
      <w:pPr>
        <w:tabs>
          <w:tab w:val="num" w:pos="3583"/>
        </w:tabs>
        <w:ind w:left="3583" w:hanging="360"/>
      </w:pPr>
      <w:rPr>
        <w:rFonts w:ascii="Symbol" w:hAnsi="Symbol" w:cs="Symbol" w:hint="default"/>
      </w:rPr>
    </w:lvl>
    <w:lvl w:ilvl="4">
      <w:start w:val="1"/>
      <w:numFmt w:val="bullet"/>
      <w:lvlText w:val="o"/>
      <w:lvlJc w:val="left"/>
      <w:pPr>
        <w:tabs>
          <w:tab w:val="num" w:pos="4303"/>
        </w:tabs>
        <w:ind w:left="4303" w:hanging="360"/>
      </w:pPr>
      <w:rPr>
        <w:rFonts w:ascii="Courier New" w:hAnsi="Courier New" w:cs="Courier New" w:hint="default"/>
      </w:rPr>
    </w:lvl>
    <w:lvl w:ilvl="5">
      <w:start w:val="1"/>
      <w:numFmt w:val="bullet"/>
      <w:lvlText w:val=""/>
      <w:lvlJc w:val="left"/>
      <w:pPr>
        <w:tabs>
          <w:tab w:val="num" w:pos="5023"/>
        </w:tabs>
        <w:ind w:left="5023" w:hanging="360"/>
      </w:pPr>
      <w:rPr>
        <w:rFonts w:ascii="Wingdings" w:hAnsi="Wingdings" w:cs="Wingdings" w:hint="default"/>
      </w:rPr>
    </w:lvl>
    <w:lvl w:ilvl="6">
      <w:start w:val="1"/>
      <w:numFmt w:val="bullet"/>
      <w:lvlText w:val=""/>
      <w:lvlJc w:val="left"/>
      <w:pPr>
        <w:tabs>
          <w:tab w:val="num" w:pos="5743"/>
        </w:tabs>
        <w:ind w:left="5743" w:hanging="360"/>
      </w:pPr>
      <w:rPr>
        <w:rFonts w:ascii="Symbol" w:hAnsi="Symbol" w:cs="Symbol" w:hint="default"/>
      </w:rPr>
    </w:lvl>
    <w:lvl w:ilvl="7">
      <w:start w:val="1"/>
      <w:numFmt w:val="bullet"/>
      <w:lvlText w:val="o"/>
      <w:lvlJc w:val="left"/>
      <w:pPr>
        <w:tabs>
          <w:tab w:val="num" w:pos="6463"/>
        </w:tabs>
        <w:ind w:left="6463" w:hanging="360"/>
      </w:pPr>
      <w:rPr>
        <w:rFonts w:ascii="Courier New" w:hAnsi="Courier New" w:cs="Courier New" w:hint="default"/>
      </w:rPr>
    </w:lvl>
    <w:lvl w:ilvl="8">
      <w:start w:val="1"/>
      <w:numFmt w:val="bullet"/>
      <w:lvlText w:val=""/>
      <w:lvlJc w:val="left"/>
      <w:pPr>
        <w:tabs>
          <w:tab w:val="num" w:pos="7183"/>
        </w:tabs>
        <w:ind w:left="7183" w:hanging="360"/>
      </w:pPr>
      <w:rPr>
        <w:rFonts w:ascii="Wingdings" w:hAnsi="Wingdings" w:cs="Wingdings" w:hint="default"/>
      </w:rPr>
    </w:lvl>
  </w:abstractNum>
  <w:abstractNum w:abstractNumId="24">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25">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
      <w:lvlJc w:val="left"/>
      <w:pPr>
        <w:tabs>
          <w:tab w:val="num" w:pos="2148"/>
        </w:tabs>
        <w:ind w:left="2148" w:hanging="360"/>
      </w:pPr>
      <w:rPr>
        <w:rFonts w:ascii="Symbol" w:hAnsi="Symbol" w:cs="Symbol"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26">
    <w:lvl w:ilvl="0">
      <w:start w:val="1"/>
      <w:numFmt w:val="bullet"/>
      <w:lvlText w:val=""/>
      <w:lvlJc w:val="left"/>
      <w:pPr>
        <w:tabs>
          <w:tab w:val="num" w:pos="1423"/>
        </w:tabs>
        <w:ind w:left="1423" w:hanging="360"/>
      </w:pPr>
      <w:rPr>
        <w:rFonts w:ascii="Wingdings" w:hAnsi="Wingdings" w:cs="Wingdings" w:hint="default"/>
      </w:rPr>
    </w:lvl>
    <w:lvl w:ilvl="1">
      <w:start w:val="1"/>
      <w:numFmt w:val="bullet"/>
      <w:lvlText w:val=""/>
      <w:lvlJc w:val="left"/>
      <w:pPr>
        <w:tabs>
          <w:tab w:val="num" w:pos="2143"/>
        </w:tabs>
        <w:ind w:left="2143" w:hanging="360"/>
      </w:pPr>
      <w:rPr>
        <w:rFonts w:ascii="Symbol" w:hAnsi="Symbol" w:cs="Symbol" w:hint="default"/>
      </w:rPr>
    </w:lvl>
    <w:lvl w:ilvl="2">
      <w:start w:val="1"/>
      <w:numFmt w:val="bullet"/>
      <w:lvlText w:val=""/>
      <w:lvlJc w:val="left"/>
      <w:pPr>
        <w:tabs>
          <w:tab w:val="num" w:pos="2863"/>
        </w:tabs>
        <w:ind w:left="2863" w:hanging="360"/>
      </w:pPr>
      <w:rPr>
        <w:rFonts w:ascii="Wingdings" w:hAnsi="Wingdings" w:cs="Wingdings" w:hint="default"/>
      </w:rPr>
    </w:lvl>
    <w:lvl w:ilvl="3">
      <w:start w:val="1"/>
      <w:numFmt w:val="bullet"/>
      <w:lvlText w:val=""/>
      <w:lvlJc w:val="left"/>
      <w:pPr>
        <w:tabs>
          <w:tab w:val="num" w:pos="3583"/>
        </w:tabs>
        <w:ind w:left="3583" w:hanging="360"/>
      </w:pPr>
      <w:rPr>
        <w:rFonts w:ascii="Symbol" w:hAnsi="Symbol" w:cs="Symbol" w:hint="default"/>
      </w:rPr>
    </w:lvl>
    <w:lvl w:ilvl="4">
      <w:start w:val="1"/>
      <w:numFmt w:val="bullet"/>
      <w:lvlText w:val="o"/>
      <w:lvlJc w:val="left"/>
      <w:pPr>
        <w:tabs>
          <w:tab w:val="num" w:pos="4303"/>
        </w:tabs>
        <w:ind w:left="4303" w:hanging="360"/>
      </w:pPr>
      <w:rPr>
        <w:rFonts w:ascii="Courier New" w:hAnsi="Courier New" w:cs="Courier New" w:hint="default"/>
      </w:rPr>
    </w:lvl>
    <w:lvl w:ilvl="5">
      <w:start w:val="1"/>
      <w:numFmt w:val="bullet"/>
      <w:lvlText w:val=""/>
      <w:lvlJc w:val="left"/>
      <w:pPr>
        <w:tabs>
          <w:tab w:val="num" w:pos="5023"/>
        </w:tabs>
        <w:ind w:left="5023" w:hanging="360"/>
      </w:pPr>
      <w:rPr>
        <w:rFonts w:ascii="Wingdings" w:hAnsi="Wingdings" w:cs="Wingdings" w:hint="default"/>
      </w:rPr>
    </w:lvl>
    <w:lvl w:ilvl="6">
      <w:start w:val="1"/>
      <w:numFmt w:val="bullet"/>
      <w:lvlText w:val=""/>
      <w:lvlJc w:val="left"/>
      <w:pPr>
        <w:tabs>
          <w:tab w:val="num" w:pos="5743"/>
        </w:tabs>
        <w:ind w:left="5743" w:hanging="360"/>
      </w:pPr>
      <w:rPr>
        <w:rFonts w:ascii="Symbol" w:hAnsi="Symbol" w:cs="Symbol" w:hint="default"/>
      </w:rPr>
    </w:lvl>
    <w:lvl w:ilvl="7">
      <w:start w:val="1"/>
      <w:numFmt w:val="bullet"/>
      <w:lvlText w:val="o"/>
      <w:lvlJc w:val="left"/>
      <w:pPr>
        <w:tabs>
          <w:tab w:val="num" w:pos="6463"/>
        </w:tabs>
        <w:ind w:left="6463" w:hanging="360"/>
      </w:pPr>
      <w:rPr>
        <w:rFonts w:ascii="Courier New" w:hAnsi="Courier New" w:cs="Courier New" w:hint="default"/>
      </w:rPr>
    </w:lvl>
    <w:lvl w:ilvl="8">
      <w:start w:val="1"/>
      <w:numFmt w:val="bullet"/>
      <w:lvlText w:val=""/>
      <w:lvlJc w:val="left"/>
      <w:pPr>
        <w:tabs>
          <w:tab w:val="num" w:pos="7183"/>
        </w:tabs>
        <w:ind w:left="7183" w:hanging="360"/>
      </w:pPr>
      <w:rPr>
        <w:rFonts w:ascii="Wingdings" w:hAnsi="Wingdings" w:cs="Wingdings" w:hint="default"/>
      </w:rPr>
    </w:lvl>
  </w:abstractNum>
  <w:abstractNum w:abstractNumId="27">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28">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
      <w:lvlJc w:val="left"/>
      <w:pPr>
        <w:tabs>
          <w:tab w:val="num" w:pos="2148"/>
        </w:tabs>
        <w:ind w:left="2148" w:hanging="360"/>
      </w:pPr>
      <w:rPr>
        <w:rFonts w:ascii="Symbol" w:hAnsi="Symbol" w:cs="Symbol"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29">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0">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1">
    <w:lvl w:ilvl="0">
      <w:start w:val="1"/>
      <w:numFmt w:val="bullet"/>
      <w:lvlText w:val=""/>
      <w:lvlJc w:val="left"/>
      <w:pPr>
        <w:tabs>
          <w:tab w:val="num" w:pos="1423"/>
        </w:tabs>
        <w:ind w:left="1423" w:hanging="360"/>
      </w:pPr>
      <w:rPr>
        <w:rFonts w:ascii="Wingdings" w:hAnsi="Wingdings" w:cs="Wingdings" w:hint="default"/>
      </w:rPr>
    </w:lvl>
    <w:lvl w:ilvl="1">
      <w:start w:val="1"/>
      <w:numFmt w:val="bullet"/>
      <w:lvlText w:val=""/>
      <w:lvlJc w:val="left"/>
      <w:pPr>
        <w:tabs>
          <w:tab w:val="num" w:pos="2143"/>
        </w:tabs>
        <w:ind w:left="2143" w:hanging="360"/>
      </w:pPr>
      <w:rPr>
        <w:rFonts w:ascii="Symbol" w:hAnsi="Symbol" w:cs="Symbol" w:hint="default"/>
      </w:rPr>
    </w:lvl>
    <w:lvl w:ilvl="2">
      <w:start w:val="1"/>
      <w:numFmt w:val="bullet"/>
      <w:lvlText w:val=""/>
      <w:lvlJc w:val="left"/>
      <w:pPr>
        <w:tabs>
          <w:tab w:val="num" w:pos="2863"/>
        </w:tabs>
        <w:ind w:left="2863" w:hanging="360"/>
      </w:pPr>
      <w:rPr>
        <w:rFonts w:ascii="Wingdings" w:hAnsi="Wingdings" w:cs="Wingdings" w:hint="default"/>
      </w:rPr>
    </w:lvl>
    <w:lvl w:ilvl="3">
      <w:start w:val="1"/>
      <w:numFmt w:val="bullet"/>
      <w:lvlText w:val=""/>
      <w:lvlJc w:val="left"/>
      <w:pPr>
        <w:tabs>
          <w:tab w:val="num" w:pos="3583"/>
        </w:tabs>
        <w:ind w:left="3583" w:hanging="360"/>
      </w:pPr>
      <w:rPr>
        <w:rFonts w:ascii="Symbol" w:hAnsi="Symbol" w:cs="Symbol" w:hint="default"/>
      </w:rPr>
    </w:lvl>
    <w:lvl w:ilvl="4">
      <w:start w:val="1"/>
      <w:numFmt w:val="bullet"/>
      <w:lvlText w:val="o"/>
      <w:lvlJc w:val="left"/>
      <w:pPr>
        <w:tabs>
          <w:tab w:val="num" w:pos="4303"/>
        </w:tabs>
        <w:ind w:left="4303" w:hanging="360"/>
      </w:pPr>
      <w:rPr>
        <w:rFonts w:ascii="Courier New" w:hAnsi="Courier New" w:cs="Courier New" w:hint="default"/>
      </w:rPr>
    </w:lvl>
    <w:lvl w:ilvl="5">
      <w:start w:val="1"/>
      <w:numFmt w:val="bullet"/>
      <w:lvlText w:val=""/>
      <w:lvlJc w:val="left"/>
      <w:pPr>
        <w:tabs>
          <w:tab w:val="num" w:pos="5023"/>
        </w:tabs>
        <w:ind w:left="5023" w:hanging="360"/>
      </w:pPr>
      <w:rPr>
        <w:rFonts w:ascii="Wingdings" w:hAnsi="Wingdings" w:cs="Wingdings" w:hint="default"/>
      </w:rPr>
    </w:lvl>
    <w:lvl w:ilvl="6">
      <w:start w:val="1"/>
      <w:numFmt w:val="bullet"/>
      <w:lvlText w:val=""/>
      <w:lvlJc w:val="left"/>
      <w:pPr>
        <w:tabs>
          <w:tab w:val="num" w:pos="5743"/>
        </w:tabs>
        <w:ind w:left="5743" w:hanging="360"/>
      </w:pPr>
      <w:rPr>
        <w:rFonts w:ascii="Symbol" w:hAnsi="Symbol" w:cs="Symbol" w:hint="default"/>
      </w:rPr>
    </w:lvl>
    <w:lvl w:ilvl="7">
      <w:start w:val="1"/>
      <w:numFmt w:val="bullet"/>
      <w:lvlText w:val="o"/>
      <w:lvlJc w:val="left"/>
      <w:pPr>
        <w:tabs>
          <w:tab w:val="num" w:pos="6463"/>
        </w:tabs>
        <w:ind w:left="6463" w:hanging="360"/>
      </w:pPr>
      <w:rPr>
        <w:rFonts w:ascii="Courier New" w:hAnsi="Courier New" w:cs="Courier New" w:hint="default"/>
      </w:rPr>
    </w:lvl>
    <w:lvl w:ilvl="8">
      <w:start w:val="1"/>
      <w:numFmt w:val="bullet"/>
      <w:lvlText w:val=""/>
      <w:lvlJc w:val="left"/>
      <w:pPr>
        <w:tabs>
          <w:tab w:val="num" w:pos="7183"/>
        </w:tabs>
        <w:ind w:left="7183" w:hanging="360"/>
      </w:pPr>
      <w:rPr>
        <w:rFonts w:ascii="Wingdings" w:hAnsi="Wingdings" w:cs="Wingdings" w:hint="default"/>
      </w:rPr>
    </w:lvl>
  </w:abstractNum>
  <w:abstractNum w:abstractNumId="32">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
      <w:lvlJc w:val="left"/>
      <w:pPr>
        <w:tabs>
          <w:tab w:val="num" w:pos="2148"/>
        </w:tabs>
        <w:ind w:left="2148" w:hanging="360"/>
      </w:pPr>
      <w:rPr>
        <w:rFonts w:ascii="Symbol" w:hAnsi="Symbol" w:cs="Symbol"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3">
    <w:lvl w:ilvl="0">
      <w:start w:val="1"/>
      <w:numFmt w:val="bullet"/>
      <w:lvlText w:val=""/>
      <w:lvlJc w:val="left"/>
      <w:pPr>
        <w:tabs>
          <w:tab w:val="num" w:pos="1788"/>
        </w:tabs>
        <w:ind w:left="1788" w:hanging="360"/>
      </w:pPr>
      <w:rPr>
        <w:rFonts w:ascii="Symbol" w:hAnsi="Symbol" w:cs="Symbol" w:hint="default"/>
      </w:rPr>
    </w:lvl>
    <w:lvl w:ilvl="1">
      <w:start w:val="1"/>
      <w:numFmt w:val="bullet"/>
      <w:lvlText w:val="o"/>
      <w:lvlJc w:val="left"/>
      <w:pPr>
        <w:tabs>
          <w:tab w:val="num" w:pos="2508"/>
        </w:tabs>
        <w:ind w:left="2508" w:hanging="360"/>
      </w:pPr>
      <w:rPr>
        <w:rFonts w:ascii="Courier New" w:hAnsi="Courier New" w:cs="Courier New" w:hint="default"/>
      </w:rPr>
    </w:lvl>
    <w:lvl w:ilvl="2">
      <w:start w:val="1"/>
      <w:numFmt w:val="bullet"/>
      <w:lvlText w:val=""/>
      <w:lvlJc w:val="left"/>
      <w:pPr>
        <w:tabs>
          <w:tab w:val="num" w:pos="3228"/>
        </w:tabs>
        <w:ind w:left="3228" w:hanging="360"/>
      </w:pPr>
      <w:rPr>
        <w:rFonts w:ascii="Wingdings" w:hAnsi="Wingdings" w:cs="Wingdings" w:hint="default"/>
      </w:rPr>
    </w:lvl>
    <w:lvl w:ilvl="3">
      <w:start w:val="1"/>
      <w:numFmt w:val="bullet"/>
      <w:lvlText w:val=""/>
      <w:lvlJc w:val="left"/>
      <w:pPr>
        <w:tabs>
          <w:tab w:val="num" w:pos="3948"/>
        </w:tabs>
        <w:ind w:left="3948" w:hanging="360"/>
      </w:pPr>
      <w:rPr>
        <w:rFonts w:ascii="Symbol" w:hAnsi="Symbol" w:cs="Symbol" w:hint="default"/>
      </w:rPr>
    </w:lvl>
    <w:lvl w:ilvl="4">
      <w:start w:val="1"/>
      <w:numFmt w:val="bullet"/>
      <w:lvlText w:val="o"/>
      <w:lvlJc w:val="left"/>
      <w:pPr>
        <w:tabs>
          <w:tab w:val="num" w:pos="4668"/>
        </w:tabs>
        <w:ind w:left="4668" w:hanging="360"/>
      </w:pPr>
      <w:rPr>
        <w:rFonts w:ascii="Courier New" w:hAnsi="Courier New" w:cs="Courier New" w:hint="default"/>
      </w:rPr>
    </w:lvl>
    <w:lvl w:ilvl="5">
      <w:start w:val="1"/>
      <w:numFmt w:val="bullet"/>
      <w:lvlText w:val=""/>
      <w:lvlJc w:val="left"/>
      <w:pPr>
        <w:tabs>
          <w:tab w:val="num" w:pos="5388"/>
        </w:tabs>
        <w:ind w:left="5388" w:hanging="360"/>
      </w:pPr>
      <w:rPr>
        <w:rFonts w:ascii="Wingdings" w:hAnsi="Wingdings" w:cs="Wingdings" w:hint="default"/>
      </w:rPr>
    </w:lvl>
    <w:lvl w:ilvl="6">
      <w:start w:val="1"/>
      <w:numFmt w:val="bullet"/>
      <w:lvlText w:val=""/>
      <w:lvlJc w:val="left"/>
      <w:pPr>
        <w:tabs>
          <w:tab w:val="num" w:pos="6108"/>
        </w:tabs>
        <w:ind w:left="6108" w:hanging="360"/>
      </w:pPr>
      <w:rPr>
        <w:rFonts w:ascii="Symbol" w:hAnsi="Symbol" w:cs="Symbol" w:hint="default"/>
      </w:rPr>
    </w:lvl>
    <w:lvl w:ilvl="7">
      <w:start w:val="1"/>
      <w:numFmt w:val="bullet"/>
      <w:lvlText w:val="o"/>
      <w:lvlJc w:val="left"/>
      <w:pPr>
        <w:tabs>
          <w:tab w:val="num" w:pos="6828"/>
        </w:tabs>
        <w:ind w:left="6828" w:hanging="360"/>
      </w:pPr>
      <w:rPr>
        <w:rFonts w:ascii="Courier New" w:hAnsi="Courier New" w:cs="Courier New" w:hint="default"/>
      </w:rPr>
    </w:lvl>
    <w:lvl w:ilvl="8">
      <w:start w:val="1"/>
      <w:numFmt w:val="bullet"/>
      <w:lvlText w:val=""/>
      <w:lvlJc w:val="left"/>
      <w:pPr>
        <w:tabs>
          <w:tab w:val="num" w:pos="7548"/>
        </w:tabs>
        <w:ind w:left="7548" w:hanging="360"/>
      </w:pPr>
      <w:rPr>
        <w:rFonts w:ascii="Wingdings" w:hAnsi="Wingdings" w:cs="Wingdings" w:hint="default"/>
      </w:rPr>
    </w:lvl>
  </w:abstractNum>
  <w:abstractNum w:abstractNumId="34">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5">
    <w:lvl w:ilvl="0">
      <w:start w:val="1"/>
      <w:numFmt w:val="bullet"/>
      <w:lvlText w:val=""/>
      <w:lvlJc w:val="left"/>
      <w:pPr>
        <w:tabs>
          <w:tab w:val="num" w:pos="1783"/>
        </w:tabs>
        <w:ind w:left="1783" w:hanging="360"/>
      </w:pPr>
      <w:rPr>
        <w:rFonts w:ascii="Symbol" w:hAnsi="Symbol" w:cs="Symbol" w:hint="default"/>
      </w:rPr>
    </w:lvl>
    <w:lvl w:ilvl="1">
      <w:start w:val="1"/>
      <w:numFmt w:val="bullet"/>
      <w:lvlText w:val="o"/>
      <w:lvlJc w:val="left"/>
      <w:pPr>
        <w:tabs>
          <w:tab w:val="num" w:pos="2503"/>
        </w:tabs>
        <w:ind w:left="2503" w:hanging="360"/>
      </w:pPr>
      <w:rPr>
        <w:rFonts w:ascii="Courier New" w:hAnsi="Courier New" w:cs="Courier New" w:hint="default"/>
      </w:rPr>
    </w:lvl>
    <w:lvl w:ilvl="2">
      <w:start w:val="1"/>
      <w:numFmt w:val="bullet"/>
      <w:lvlText w:val=""/>
      <w:lvlJc w:val="left"/>
      <w:pPr>
        <w:tabs>
          <w:tab w:val="num" w:pos="3223"/>
        </w:tabs>
        <w:ind w:left="3223" w:hanging="360"/>
      </w:pPr>
      <w:rPr>
        <w:rFonts w:ascii="Wingdings" w:hAnsi="Wingdings" w:cs="Wingdings" w:hint="default"/>
      </w:rPr>
    </w:lvl>
    <w:lvl w:ilvl="3">
      <w:start w:val="1"/>
      <w:numFmt w:val="bullet"/>
      <w:lvlText w:val=""/>
      <w:lvlJc w:val="left"/>
      <w:pPr>
        <w:tabs>
          <w:tab w:val="num" w:pos="3943"/>
        </w:tabs>
        <w:ind w:left="3943" w:hanging="360"/>
      </w:pPr>
      <w:rPr>
        <w:rFonts w:ascii="Symbol" w:hAnsi="Symbol" w:cs="Symbol" w:hint="default"/>
      </w:rPr>
    </w:lvl>
    <w:lvl w:ilvl="4">
      <w:start w:val="1"/>
      <w:numFmt w:val="bullet"/>
      <w:lvlText w:val="o"/>
      <w:lvlJc w:val="left"/>
      <w:pPr>
        <w:tabs>
          <w:tab w:val="num" w:pos="4663"/>
        </w:tabs>
        <w:ind w:left="4663" w:hanging="360"/>
      </w:pPr>
      <w:rPr>
        <w:rFonts w:ascii="Courier New" w:hAnsi="Courier New" w:cs="Courier New" w:hint="default"/>
      </w:rPr>
    </w:lvl>
    <w:lvl w:ilvl="5">
      <w:start w:val="1"/>
      <w:numFmt w:val="bullet"/>
      <w:lvlText w:val=""/>
      <w:lvlJc w:val="left"/>
      <w:pPr>
        <w:tabs>
          <w:tab w:val="num" w:pos="5383"/>
        </w:tabs>
        <w:ind w:left="5383" w:hanging="360"/>
      </w:pPr>
      <w:rPr>
        <w:rFonts w:ascii="Wingdings" w:hAnsi="Wingdings" w:cs="Wingdings" w:hint="default"/>
      </w:rPr>
    </w:lvl>
    <w:lvl w:ilvl="6">
      <w:start w:val="1"/>
      <w:numFmt w:val="bullet"/>
      <w:lvlText w:val=""/>
      <w:lvlJc w:val="left"/>
      <w:pPr>
        <w:tabs>
          <w:tab w:val="num" w:pos="6103"/>
        </w:tabs>
        <w:ind w:left="6103" w:hanging="360"/>
      </w:pPr>
      <w:rPr>
        <w:rFonts w:ascii="Symbol" w:hAnsi="Symbol" w:cs="Symbol" w:hint="default"/>
      </w:rPr>
    </w:lvl>
    <w:lvl w:ilvl="7">
      <w:start w:val="1"/>
      <w:numFmt w:val="bullet"/>
      <w:lvlText w:val="o"/>
      <w:lvlJc w:val="left"/>
      <w:pPr>
        <w:tabs>
          <w:tab w:val="num" w:pos="6823"/>
        </w:tabs>
        <w:ind w:left="6823" w:hanging="360"/>
      </w:pPr>
      <w:rPr>
        <w:rFonts w:ascii="Courier New" w:hAnsi="Courier New" w:cs="Courier New" w:hint="default"/>
      </w:rPr>
    </w:lvl>
    <w:lvl w:ilvl="8">
      <w:start w:val="1"/>
      <w:numFmt w:val="bullet"/>
      <w:lvlText w:val=""/>
      <w:lvlJc w:val="left"/>
      <w:pPr>
        <w:tabs>
          <w:tab w:val="num" w:pos="7543"/>
        </w:tabs>
        <w:ind w:left="7543" w:hanging="360"/>
      </w:pPr>
      <w:rPr>
        <w:rFonts w:ascii="Wingdings" w:hAnsi="Wingdings" w:cs="Wingdings" w:hint="default"/>
      </w:rPr>
    </w:lvl>
  </w:abstractNum>
  <w:abstractNum w:abstractNumId="36">
    <w:lvl w:ilvl="0">
      <w:start w:val="1"/>
      <w:numFmt w:val="bullet"/>
      <w:lvlText w:val=""/>
      <w:lvlJc w:val="left"/>
      <w:pPr>
        <w:tabs>
          <w:tab w:val="num" w:pos="1788"/>
        </w:tabs>
        <w:ind w:left="1788" w:hanging="360"/>
      </w:pPr>
      <w:rPr>
        <w:rFonts w:ascii="Symbol" w:hAnsi="Symbol" w:cs="Symbol" w:hint="default"/>
      </w:rPr>
    </w:lvl>
    <w:lvl w:ilvl="1">
      <w:start w:val="1"/>
      <w:numFmt w:val="bullet"/>
      <w:lvlText w:val="o"/>
      <w:lvlJc w:val="left"/>
      <w:pPr>
        <w:tabs>
          <w:tab w:val="num" w:pos="2508"/>
        </w:tabs>
        <w:ind w:left="2508" w:hanging="360"/>
      </w:pPr>
      <w:rPr>
        <w:rFonts w:ascii="Courier New" w:hAnsi="Courier New" w:cs="Courier New" w:hint="default"/>
      </w:rPr>
    </w:lvl>
    <w:lvl w:ilvl="2">
      <w:start w:val="1"/>
      <w:numFmt w:val="bullet"/>
      <w:lvlText w:val=""/>
      <w:lvlJc w:val="left"/>
      <w:pPr>
        <w:tabs>
          <w:tab w:val="num" w:pos="3228"/>
        </w:tabs>
        <w:ind w:left="3228" w:hanging="360"/>
      </w:pPr>
      <w:rPr>
        <w:rFonts w:ascii="Wingdings" w:hAnsi="Wingdings" w:cs="Wingdings" w:hint="default"/>
      </w:rPr>
    </w:lvl>
    <w:lvl w:ilvl="3">
      <w:start w:val="1"/>
      <w:numFmt w:val="bullet"/>
      <w:lvlText w:val=""/>
      <w:lvlJc w:val="left"/>
      <w:pPr>
        <w:tabs>
          <w:tab w:val="num" w:pos="3948"/>
        </w:tabs>
        <w:ind w:left="3948" w:hanging="360"/>
      </w:pPr>
      <w:rPr>
        <w:rFonts w:ascii="Symbol" w:hAnsi="Symbol" w:cs="Symbol" w:hint="default"/>
      </w:rPr>
    </w:lvl>
    <w:lvl w:ilvl="4">
      <w:start w:val="1"/>
      <w:numFmt w:val="bullet"/>
      <w:lvlText w:val="o"/>
      <w:lvlJc w:val="left"/>
      <w:pPr>
        <w:tabs>
          <w:tab w:val="num" w:pos="4668"/>
        </w:tabs>
        <w:ind w:left="4668" w:hanging="360"/>
      </w:pPr>
      <w:rPr>
        <w:rFonts w:ascii="Courier New" w:hAnsi="Courier New" w:cs="Courier New" w:hint="default"/>
      </w:rPr>
    </w:lvl>
    <w:lvl w:ilvl="5">
      <w:start w:val="1"/>
      <w:numFmt w:val="bullet"/>
      <w:lvlText w:val=""/>
      <w:lvlJc w:val="left"/>
      <w:pPr>
        <w:tabs>
          <w:tab w:val="num" w:pos="5388"/>
        </w:tabs>
        <w:ind w:left="5388" w:hanging="360"/>
      </w:pPr>
      <w:rPr>
        <w:rFonts w:ascii="Wingdings" w:hAnsi="Wingdings" w:cs="Wingdings" w:hint="default"/>
      </w:rPr>
    </w:lvl>
    <w:lvl w:ilvl="6">
      <w:start w:val="1"/>
      <w:numFmt w:val="bullet"/>
      <w:lvlText w:val=""/>
      <w:lvlJc w:val="left"/>
      <w:pPr>
        <w:tabs>
          <w:tab w:val="num" w:pos="6108"/>
        </w:tabs>
        <w:ind w:left="6108" w:hanging="360"/>
      </w:pPr>
      <w:rPr>
        <w:rFonts w:ascii="Symbol" w:hAnsi="Symbol" w:cs="Symbol" w:hint="default"/>
      </w:rPr>
    </w:lvl>
    <w:lvl w:ilvl="7">
      <w:start w:val="1"/>
      <w:numFmt w:val="bullet"/>
      <w:lvlText w:val="o"/>
      <w:lvlJc w:val="left"/>
      <w:pPr>
        <w:tabs>
          <w:tab w:val="num" w:pos="6828"/>
        </w:tabs>
        <w:ind w:left="6828" w:hanging="360"/>
      </w:pPr>
      <w:rPr>
        <w:rFonts w:ascii="Courier New" w:hAnsi="Courier New" w:cs="Courier New" w:hint="default"/>
      </w:rPr>
    </w:lvl>
    <w:lvl w:ilvl="8">
      <w:start w:val="1"/>
      <w:numFmt w:val="bullet"/>
      <w:lvlText w:val=""/>
      <w:lvlJc w:val="left"/>
      <w:pPr>
        <w:tabs>
          <w:tab w:val="num" w:pos="7548"/>
        </w:tabs>
        <w:ind w:left="7548" w:hanging="360"/>
      </w:pPr>
      <w:rPr>
        <w:rFonts w:ascii="Wingdings" w:hAnsi="Wingdings" w:cs="Wingdings" w:hint="default"/>
      </w:rPr>
    </w:lvl>
  </w:abstractNum>
  <w:abstractNum w:abstractNumId="37">
    <w:lvl w:ilvl="0">
      <w:start w:val="1"/>
      <w:numFmt w:val="bullet"/>
      <w:lvlText w:val=""/>
      <w:lvlJc w:val="left"/>
      <w:pPr>
        <w:tabs>
          <w:tab w:val="num" w:pos="1783"/>
        </w:tabs>
        <w:ind w:left="1783" w:hanging="360"/>
      </w:pPr>
      <w:rPr>
        <w:rFonts w:ascii="Symbol" w:hAnsi="Symbol" w:cs="Symbol" w:hint="default"/>
      </w:rPr>
    </w:lvl>
    <w:lvl w:ilvl="1">
      <w:start w:val="1"/>
      <w:numFmt w:val="bullet"/>
      <w:lvlText w:val="o"/>
      <w:lvlJc w:val="left"/>
      <w:pPr>
        <w:tabs>
          <w:tab w:val="num" w:pos="2503"/>
        </w:tabs>
        <w:ind w:left="2503" w:hanging="360"/>
      </w:pPr>
      <w:rPr>
        <w:rFonts w:ascii="Courier New" w:hAnsi="Courier New" w:cs="Courier New" w:hint="default"/>
      </w:rPr>
    </w:lvl>
    <w:lvl w:ilvl="2">
      <w:start w:val="1"/>
      <w:numFmt w:val="bullet"/>
      <w:lvlText w:val=""/>
      <w:lvlJc w:val="left"/>
      <w:pPr>
        <w:tabs>
          <w:tab w:val="num" w:pos="3223"/>
        </w:tabs>
        <w:ind w:left="3223" w:hanging="360"/>
      </w:pPr>
      <w:rPr>
        <w:rFonts w:ascii="Wingdings" w:hAnsi="Wingdings" w:cs="Wingdings" w:hint="default"/>
      </w:rPr>
    </w:lvl>
    <w:lvl w:ilvl="3">
      <w:start w:val="1"/>
      <w:numFmt w:val="bullet"/>
      <w:lvlText w:val=""/>
      <w:lvlJc w:val="left"/>
      <w:pPr>
        <w:tabs>
          <w:tab w:val="num" w:pos="3943"/>
        </w:tabs>
        <w:ind w:left="3943" w:hanging="360"/>
      </w:pPr>
      <w:rPr>
        <w:rFonts w:ascii="Symbol" w:hAnsi="Symbol" w:cs="Symbol" w:hint="default"/>
      </w:rPr>
    </w:lvl>
    <w:lvl w:ilvl="4">
      <w:start w:val="1"/>
      <w:numFmt w:val="bullet"/>
      <w:lvlText w:val="o"/>
      <w:lvlJc w:val="left"/>
      <w:pPr>
        <w:tabs>
          <w:tab w:val="num" w:pos="4663"/>
        </w:tabs>
        <w:ind w:left="4663" w:hanging="360"/>
      </w:pPr>
      <w:rPr>
        <w:rFonts w:ascii="Courier New" w:hAnsi="Courier New" w:cs="Courier New" w:hint="default"/>
      </w:rPr>
    </w:lvl>
    <w:lvl w:ilvl="5">
      <w:start w:val="1"/>
      <w:numFmt w:val="bullet"/>
      <w:lvlText w:val=""/>
      <w:lvlJc w:val="left"/>
      <w:pPr>
        <w:tabs>
          <w:tab w:val="num" w:pos="5383"/>
        </w:tabs>
        <w:ind w:left="5383" w:hanging="360"/>
      </w:pPr>
      <w:rPr>
        <w:rFonts w:ascii="Wingdings" w:hAnsi="Wingdings" w:cs="Wingdings" w:hint="default"/>
      </w:rPr>
    </w:lvl>
    <w:lvl w:ilvl="6">
      <w:start w:val="1"/>
      <w:numFmt w:val="bullet"/>
      <w:lvlText w:val=""/>
      <w:lvlJc w:val="left"/>
      <w:pPr>
        <w:tabs>
          <w:tab w:val="num" w:pos="6103"/>
        </w:tabs>
        <w:ind w:left="6103" w:hanging="360"/>
      </w:pPr>
      <w:rPr>
        <w:rFonts w:ascii="Symbol" w:hAnsi="Symbol" w:cs="Symbol" w:hint="default"/>
      </w:rPr>
    </w:lvl>
    <w:lvl w:ilvl="7">
      <w:start w:val="1"/>
      <w:numFmt w:val="bullet"/>
      <w:lvlText w:val="o"/>
      <w:lvlJc w:val="left"/>
      <w:pPr>
        <w:tabs>
          <w:tab w:val="num" w:pos="6823"/>
        </w:tabs>
        <w:ind w:left="6823" w:hanging="360"/>
      </w:pPr>
      <w:rPr>
        <w:rFonts w:ascii="Courier New" w:hAnsi="Courier New" w:cs="Courier New" w:hint="default"/>
      </w:rPr>
    </w:lvl>
    <w:lvl w:ilvl="8">
      <w:start w:val="1"/>
      <w:numFmt w:val="bullet"/>
      <w:lvlText w:val=""/>
      <w:lvlJc w:val="left"/>
      <w:pPr>
        <w:tabs>
          <w:tab w:val="num" w:pos="7543"/>
        </w:tabs>
        <w:ind w:left="7543" w:hanging="360"/>
      </w:pPr>
      <w:rPr>
        <w:rFonts w:ascii="Wingdings" w:hAnsi="Wingdings" w:cs="Wingdings" w:hint="default"/>
      </w:rPr>
    </w:lvl>
  </w:abstractNum>
  <w:abstractNum w:abstractNumId="38">
    <w:lvl w:ilvl="0">
      <w:start w:val="1"/>
      <w:numFmt w:val="bullet"/>
      <w:lvlText w:val=""/>
      <w:lvlJc w:val="left"/>
      <w:pPr>
        <w:tabs>
          <w:tab w:val="num" w:pos="1788"/>
        </w:tabs>
        <w:ind w:left="1788" w:hanging="360"/>
      </w:pPr>
      <w:rPr>
        <w:rFonts w:ascii="Symbol" w:hAnsi="Symbol" w:cs="Symbol" w:hint="default"/>
      </w:rPr>
    </w:lvl>
    <w:lvl w:ilvl="1">
      <w:start w:val="1"/>
      <w:numFmt w:val="bullet"/>
      <w:lvlText w:val="o"/>
      <w:lvlJc w:val="left"/>
      <w:pPr>
        <w:tabs>
          <w:tab w:val="num" w:pos="2508"/>
        </w:tabs>
        <w:ind w:left="2508" w:hanging="360"/>
      </w:pPr>
      <w:rPr>
        <w:rFonts w:ascii="Courier New" w:hAnsi="Courier New" w:cs="Courier New" w:hint="default"/>
      </w:rPr>
    </w:lvl>
    <w:lvl w:ilvl="2">
      <w:start w:val="1"/>
      <w:numFmt w:val="bullet"/>
      <w:lvlText w:val=""/>
      <w:lvlJc w:val="left"/>
      <w:pPr>
        <w:tabs>
          <w:tab w:val="num" w:pos="3228"/>
        </w:tabs>
        <w:ind w:left="3228" w:hanging="360"/>
      </w:pPr>
      <w:rPr>
        <w:rFonts w:ascii="Wingdings" w:hAnsi="Wingdings" w:cs="Wingdings" w:hint="default"/>
      </w:rPr>
    </w:lvl>
    <w:lvl w:ilvl="3">
      <w:start w:val="1"/>
      <w:numFmt w:val="bullet"/>
      <w:lvlText w:val=""/>
      <w:lvlJc w:val="left"/>
      <w:pPr>
        <w:tabs>
          <w:tab w:val="num" w:pos="3948"/>
        </w:tabs>
        <w:ind w:left="3948" w:hanging="360"/>
      </w:pPr>
      <w:rPr>
        <w:rFonts w:ascii="Symbol" w:hAnsi="Symbol" w:cs="Symbol" w:hint="default"/>
      </w:rPr>
    </w:lvl>
    <w:lvl w:ilvl="4">
      <w:start w:val="1"/>
      <w:numFmt w:val="bullet"/>
      <w:lvlText w:val="o"/>
      <w:lvlJc w:val="left"/>
      <w:pPr>
        <w:tabs>
          <w:tab w:val="num" w:pos="4668"/>
        </w:tabs>
        <w:ind w:left="4668" w:hanging="360"/>
      </w:pPr>
      <w:rPr>
        <w:rFonts w:ascii="Courier New" w:hAnsi="Courier New" w:cs="Courier New" w:hint="default"/>
      </w:rPr>
    </w:lvl>
    <w:lvl w:ilvl="5">
      <w:start w:val="1"/>
      <w:numFmt w:val="bullet"/>
      <w:lvlText w:val=""/>
      <w:lvlJc w:val="left"/>
      <w:pPr>
        <w:tabs>
          <w:tab w:val="num" w:pos="5388"/>
        </w:tabs>
        <w:ind w:left="5388" w:hanging="360"/>
      </w:pPr>
      <w:rPr>
        <w:rFonts w:ascii="Wingdings" w:hAnsi="Wingdings" w:cs="Wingdings" w:hint="default"/>
      </w:rPr>
    </w:lvl>
    <w:lvl w:ilvl="6">
      <w:start w:val="1"/>
      <w:numFmt w:val="bullet"/>
      <w:lvlText w:val=""/>
      <w:lvlJc w:val="left"/>
      <w:pPr>
        <w:tabs>
          <w:tab w:val="num" w:pos="6108"/>
        </w:tabs>
        <w:ind w:left="6108" w:hanging="360"/>
      </w:pPr>
      <w:rPr>
        <w:rFonts w:ascii="Symbol" w:hAnsi="Symbol" w:cs="Symbol" w:hint="default"/>
      </w:rPr>
    </w:lvl>
    <w:lvl w:ilvl="7">
      <w:start w:val="1"/>
      <w:numFmt w:val="bullet"/>
      <w:lvlText w:val="o"/>
      <w:lvlJc w:val="left"/>
      <w:pPr>
        <w:tabs>
          <w:tab w:val="num" w:pos="6828"/>
        </w:tabs>
        <w:ind w:left="6828" w:hanging="360"/>
      </w:pPr>
      <w:rPr>
        <w:rFonts w:ascii="Courier New" w:hAnsi="Courier New" w:cs="Courier New" w:hint="default"/>
      </w:rPr>
    </w:lvl>
    <w:lvl w:ilvl="8">
      <w:start w:val="1"/>
      <w:numFmt w:val="bullet"/>
      <w:lvlText w:val=""/>
      <w:lvlJc w:val="left"/>
      <w:pPr>
        <w:tabs>
          <w:tab w:val="num" w:pos="7548"/>
        </w:tabs>
        <w:ind w:left="7548" w:hanging="360"/>
      </w:pPr>
      <w:rPr>
        <w:rFonts w:ascii="Wingdings" w:hAnsi="Wingdings" w:cs="Wingdings" w:hint="default"/>
      </w:rPr>
    </w:lvl>
  </w:abstractNum>
  <w:abstractNum w:abstractNumId="39">
    <w:lvl w:ilvl="0">
      <w:start w:val="1"/>
      <w:numFmt w:val="bullet"/>
      <w:lvlText w:val=""/>
      <w:lvlJc w:val="left"/>
      <w:pPr>
        <w:tabs>
          <w:tab w:val="num" w:pos="1783"/>
        </w:tabs>
        <w:ind w:left="1783" w:hanging="360"/>
      </w:pPr>
      <w:rPr>
        <w:rFonts w:ascii="Symbol" w:hAnsi="Symbol" w:cs="Symbol" w:hint="default"/>
      </w:rPr>
    </w:lvl>
    <w:lvl w:ilvl="1">
      <w:start w:val="1"/>
      <w:numFmt w:val="bullet"/>
      <w:lvlText w:val="o"/>
      <w:lvlJc w:val="left"/>
      <w:pPr>
        <w:tabs>
          <w:tab w:val="num" w:pos="2503"/>
        </w:tabs>
        <w:ind w:left="2503" w:hanging="360"/>
      </w:pPr>
      <w:rPr>
        <w:rFonts w:ascii="Courier New" w:hAnsi="Courier New" w:cs="Courier New" w:hint="default"/>
      </w:rPr>
    </w:lvl>
    <w:lvl w:ilvl="2">
      <w:start w:val="1"/>
      <w:numFmt w:val="bullet"/>
      <w:lvlText w:val=""/>
      <w:lvlJc w:val="left"/>
      <w:pPr>
        <w:tabs>
          <w:tab w:val="num" w:pos="3223"/>
        </w:tabs>
        <w:ind w:left="3223" w:hanging="360"/>
      </w:pPr>
      <w:rPr>
        <w:rFonts w:ascii="Wingdings" w:hAnsi="Wingdings" w:cs="Wingdings" w:hint="default"/>
      </w:rPr>
    </w:lvl>
    <w:lvl w:ilvl="3">
      <w:start w:val="1"/>
      <w:numFmt w:val="bullet"/>
      <w:lvlText w:val=""/>
      <w:lvlJc w:val="left"/>
      <w:pPr>
        <w:tabs>
          <w:tab w:val="num" w:pos="3943"/>
        </w:tabs>
        <w:ind w:left="3943" w:hanging="360"/>
      </w:pPr>
      <w:rPr>
        <w:rFonts w:ascii="Symbol" w:hAnsi="Symbol" w:cs="Symbol" w:hint="default"/>
      </w:rPr>
    </w:lvl>
    <w:lvl w:ilvl="4">
      <w:start w:val="1"/>
      <w:numFmt w:val="bullet"/>
      <w:lvlText w:val="o"/>
      <w:lvlJc w:val="left"/>
      <w:pPr>
        <w:tabs>
          <w:tab w:val="num" w:pos="4663"/>
        </w:tabs>
        <w:ind w:left="4663" w:hanging="360"/>
      </w:pPr>
      <w:rPr>
        <w:rFonts w:ascii="Courier New" w:hAnsi="Courier New" w:cs="Courier New" w:hint="default"/>
      </w:rPr>
    </w:lvl>
    <w:lvl w:ilvl="5">
      <w:start w:val="1"/>
      <w:numFmt w:val="bullet"/>
      <w:lvlText w:val=""/>
      <w:lvlJc w:val="left"/>
      <w:pPr>
        <w:tabs>
          <w:tab w:val="num" w:pos="5383"/>
        </w:tabs>
        <w:ind w:left="5383" w:hanging="360"/>
      </w:pPr>
      <w:rPr>
        <w:rFonts w:ascii="Wingdings" w:hAnsi="Wingdings" w:cs="Wingdings" w:hint="default"/>
      </w:rPr>
    </w:lvl>
    <w:lvl w:ilvl="6">
      <w:start w:val="1"/>
      <w:numFmt w:val="bullet"/>
      <w:lvlText w:val=""/>
      <w:lvlJc w:val="left"/>
      <w:pPr>
        <w:tabs>
          <w:tab w:val="num" w:pos="6103"/>
        </w:tabs>
        <w:ind w:left="6103" w:hanging="360"/>
      </w:pPr>
      <w:rPr>
        <w:rFonts w:ascii="Symbol" w:hAnsi="Symbol" w:cs="Symbol" w:hint="default"/>
      </w:rPr>
    </w:lvl>
    <w:lvl w:ilvl="7">
      <w:start w:val="1"/>
      <w:numFmt w:val="bullet"/>
      <w:lvlText w:val="o"/>
      <w:lvlJc w:val="left"/>
      <w:pPr>
        <w:tabs>
          <w:tab w:val="num" w:pos="6823"/>
        </w:tabs>
        <w:ind w:left="6823" w:hanging="360"/>
      </w:pPr>
      <w:rPr>
        <w:rFonts w:ascii="Courier New" w:hAnsi="Courier New" w:cs="Courier New" w:hint="default"/>
      </w:rPr>
    </w:lvl>
    <w:lvl w:ilvl="8">
      <w:start w:val="1"/>
      <w:numFmt w:val="bullet"/>
      <w:lvlText w:val=""/>
      <w:lvlJc w:val="left"/>
      <w:pPr>
        <w:tabs>
          <w:tab w:val="num" w:pos="7543"/>
        </w:tabs>
        <w:ind w:left="7543" w:hanging="360"/>
      </w:pPr>
      <w:rPr>
        <w:rFonts w:ascii="Wingdings" w:hAnsi="Wingdings" w:cs="Wingdings" w:hint="default"/>
      </w:rPr>
    </w:lvl>
  </w:abstractNum>
  <w:abstractNum w:abstractNumId="40">
    <w:lvl w:ilvl="0">
      <w:start w:val="1"/>
      <w:numFmt w:val="bullet"/>
      <w:lvlText w:val=""/>
      <w:lvlJc w:val="left"/>
      <w:pPr>
        <w:tabs>
          <w:tab w:val="num" w:pos="1783"/>
        </w:tabs>
        <w:ind w:left="1783" w:hanging="360"/>
      </w:pPr>
      <w:rPr>
        <w:rFonts w:ascii="Symbol" w:hAnsi="Symbol" w:cs="Symbol" w:hint="default"/>
      </w:rPr>
    </w:lvl>
    <w:lvl w:ilvl="1">
      <w:start w:val="1"/>
      <w:numFmt w:val="lowerLetter"/>
      <w:lvlText w:val="%2."/>
      <w:lvlJc w:val="left"/>
      <w:pPr>
        <w:tabs>
          <w:tab w:val="num" w:pos="2503"/>
        </w:tabs>
        <w:ind w:left="2503" w:hanging="360"/>
      </w:pPr>
    </w:lvl>
    <w:lvl w:ilvl="2">
      <w:start w:val="1"/>
      <w:numFmt w:val="bullet"/>
      <w:lvlText w:val=""/>
      <w:lvlJc w:val="left"/>
      <w:pPr>
        <w:tabs>
          <w:tab w:val="num" w:pos="3223"/>
        </w:tabs>
        <w:ind w:left="3223" w:hanging="360"/>
      </w:pPr>
      <w:rPr>
        <w:rFonts w:ascii="Symbol" w:hAnsi="Symbol" w:cs="Symbol" w:hint="default"/>
      </w:rPr>
    </w:lvl>
    <w:lvl w:ilvl="3">
      <w:start w:val="1"/>
      <w:numFmt w:val="bullet"/>
      <w:lvlText w:val=""/>
      <w:lvlJc w:val="left"/>
      <w:pPr>
        <w:tabs>
          <w:tab w:val="num" w:pos="3943"/>
        </w:tabs>
        <w:ind w:left="3943" w:hanging="360"/>
      </w:pPr>
      <w:rPr>
        <w:rFonts w:ascii="Symbol" w:hAnsi="Symbol" w:cs="Symbol" w:hint="default"/>
      </w:rPr>
    </w:lvl>
    <w:lvl w:ilvl="4">
      <w:start w:val="1"/>
      <w:numFmt w:val="bullet"/>
      <w:lvlText w:val="o"/>
      <w:lvlJc w:val="left"/>
      <w:pPr>
        <w:tabs>
          <w:tab w:val="num" w:pos="4663"/>
        </w:tabs>
        <w:ind w:left="4663" w:hanging="360"/>
      </w:pPr>
      <w:rPr>
        <w:rFonts w:ascii="Courier New" w:hAnsi="Courier New" w:cs="Courier New" w:hint="default"/>
      </w:rPr>
    </w:lvl>
    <w:lvl w:ilvl="5">
      <w:start w:val="1"/>
      <w:numFmt w:val="bullet"/>
      <w:lvlText w:val=""/>
      <w:lvlJc w:val="left"/>
      <w:pPr>
        <w:tabs>
          <w:tab w:val="num" w:pos="5383"/>
        </w:tabs>
        <w:ind w:left="5383" w:hanging="360"/>
      </w:pPr>
      <w:rPr>
        <w:rFonts w:ascii="Wingdings" w:hAnsi="Wingdings" w:cs="Wingdings" w:hint="default"/>
      </w:rPr>
    </w:lvl>
    <w:lvl w:ilvl="6">
      <w:start w:val="1"/>
      <w:numFmt w:val="bullet"/>
      <w:lvlText w:val=""/>
      <w:lvlJc w:val="left"/>
      <w:pPr>
        <w:tabs>
          <w:tab w:val="num" w:pos="6103"/>
        </w:tabs>
        <w:ind w:left="6103" w:hanging="360"/>
      </w:pPr>
      <w:rPr>
        <w:rFonts w:ascii="Symbol" w:hAnsi="Symbol" w:cs="Symbol" w:hint="default"/>
      </w:rPr>
    </w:lvl>
    <w:lvl w:ilvl="7">
      <w:start w:val="1"/>
      <w:numFmt w:val="bullet"/>
      <w:lvlText w:val="o"/>
      <w:lvlJc w:val="left"/>
      <w:pPr>
        <w:tabs>
          <w:tab w:val="num" w:pos="6823"/>
        </w:tabs>
        <w:ind w:left="6823" w:hanging="360"/>
      </w:pPr>
      <w:rPr>
        <w:rFonts w:ascii="Courier New" w:hAnsi="Courier New" w:cs="Courier New" w:hint="default"/>
      </w:rPr>
    </w:lvl>
    <w:lvl w:ilvl="8">
      <w:start w:val="1"/>
      <w:numFmt w:val="bullet"/>
      <w:lvlText w:val=""/>
      <w:lvlJc w:val="left"/>
      <w:pPr>
        <w:tabs>
          <w:tab w:val="num" w:pos="7543"/>
        </w:tabs>
        <w:ind w:left="7543" w:hanging="360"/>
      </w:pPr>
      <w:rPr>
        <w:rFonts w:ascii="Wingdings" w:hAnsi="Wingdings" w:cs="Wingdings" w:hint="default"/>
      </w:rPr>
    </w:lvl>
  </w:abstractNum>
  <w:abstractNum w:abstractNumId="41">
    <w:lvl w:ilvl="0">
      <w:start w:val="1"/>
      <w:numFmt w:val="bullet"/>
      <w:lvlText w:val=""/>
      <w:lvlJc w:val="left"/>
      <w:pPr>
        <w:tabs>
          <w:tab w:val="num" w:pos="1783"/>
        </w:tabs>
        <w:ind w:left="1783" w:hanging="360"/>
      </w:pPr>
      <w:rPr>
        <w:rFonts w:ascii="Symbol" w:hAnsi="Symbol" w:cs="Symbol" w:hint="default"/>
      </w:rPr>
    </w:lvl>
    <w:lvl w:ilvl="1">
      <w:start w:val="1"/>
      <w:numFmt w:val="bullet"/>
      <w:lvlText w:val="o"/>
      <w:lvlJc w:val="left"/>
      <w:pPr>
        <w:tabs>
          <w:tab w:val="num" w:pos="2503"/>
        </w:tabs>
        <w:ind w:left="2503" w:hanging="360"/>
      </w:pPr>
      <w:rPr>
        <w:rFonts w:ascii="Courier New" w:hAnsi="Courier New" w:cs="Courier New" w:hint="default"/>
      </w:rPr>
    </w:lvl>
    <w:lvl w:ilvl="2">
      <w:start w:val="1"/>
      <w:numFmt w:val="bullet"/>
      <w:lvlText w:val=""/>
      <w:lvlJc w:val="left"/>
      <w:pPr>
        <w:tabs>
          <w:tab w:val="num" w:pos="3223"/>
        </w:tabs>
        <w:ind w:left="3223" w:hanging="360"/>
      </w:pPr>
      <w:rPr>
        <w:rFonts w:ascii="Wingdings" w:hAnsi="Wingdings" w:cs="Wingdings" w:hint="default"/>
      </w:rPr>
    </w:lvl>
    <w:lvl w:ilvl="3">
      <w:start w:val="1"/>
      <w:numFmt w:val="bullet"/>
      <w:lvlText w:val=""/>
      <w:lvlJc w:val="left"/>
      <w:pPr>
        <w:tabs>
          <w:tab w:val="num" w:pos="3943"/>
        </w:tabs>
        <w:ind w:left="3943" w:hanging="360"/>
      </w:pPr>
      <w:rPr>
        <w:rFonts w:ascii="Symbol" w:hAnsi="Symbol" w:cs="Symbol" w:hint="default"/>
      </w:rPr>
    </w:lvl>
    <w:lvl w:ilvl="4">
      <w:start w:val="1"/>
      <w:numFmt w:val="bullet"/>
      <w:lvlText w:val="o"/>
      <w:lvlJc w:val="left"/>
      <w:pPr>
        <w:tabs>
          <w:tab w:val="num" w:pos="4663"/>
        </w:tabs>
        <w:ind w:left="4663" w:hanging="360"/>
      </w:pPr>
      <w:rPr>
        <w:rFonts w:ascii="Courier New" w:hAnsi="Courier New" w:cs="Courier New" w:hint="default"/>
      </w:rPr>
    </w:lvl>
    <w:lvl w:ilvl="5">
      <w:start w:val="1"/>
      <w:numFmt w:val="bullet"/>
      <w:lvlText w:val=""/>
      <w:lvlJc w:val="left"/>
      <w:pPr>
        <w:tabs>
          <w:tab w:val="num" w:pos="5383"/>
        </w:tabs>
        <w:ind w:left="5383" w:hanging="360"/>
      </w:pPr>
      <w:rPr>
        <w:rFonts w:ascii="Wingdings" w:hAnsi="Wingdings" w:cs="Wingdings" w:hint="default"/>
      </w:rPr>
    </w:lvl>
    <w:lvl w:ilvl="6">
      <w:start w:val="1"/>
      <w:numFmt w:val="bullet"/>
      <w:lvlText w:val=""/>
      <w:lvlJc w:val="left"/>
      <w:pPr>
        <w:tabs>
          <w:tab w:val="num" w:pos="6103"/>
        </w:tabs>
        <w:ind w:left="6103" w:hanging="360"/>
      </w:pPr>
      <w:rPr>
        <w:rFonts w:ascii="Symbol" w:hAnsi="Symbol" w:cs="Symbol" w:hint="default"/>
      </w:rPr>
    </w:lvl>
    <w:lvl w:ilvl="7">
      <w:start w:val="1"/>
      <w:numFmt w:val="bullet"/>
      <w:lvlText w:val="o"/>
      <w:lvlJc w:val="left"/>
      <w:pPr>
        <w:tabs>
          <w:tab w:val="num" w:pos="6823"/>
        </w:tabs>
        <w:ind w:left="6823" w:hanging="360"/>
      </w:pPr>
      <w:rPr>
        <w:rFonts w:ascii="Courier New" w:hAnsi="Courier New" w:cs="Courier New" w:hint="default"/>
      </w:rPr>
    </w:lvl>
    <w:lvl w:ilvl="8">
      <w:start w:val="1"/>
      <w:numFmt w:val="bullet"/>
      <w:lvlText w:val=""/>
      <w:lvlJc w:val="left"/>
      <w:pPr>
        <w:tabs>
          <w:tab w:val="num" w:pos="7543"/>
        </w:tabs>
        <w:ind w:left="7543" w:hanging="360"/>
      </w:pPr>
      <w:rPr>
        <w:rFonts w:ascii="Wingdings" w:hAnsi="Wingdings" w:cs="Wingdings" w:hint="default"/>
      </w:rPr>
    </w:lvl>
  </w:abstractNum>
  <w:abstractNum w:abstractNumId="42">
    <w:lvl w:ilvl="0">
      <w:start w:val="1"/>
      <w:numFmt w:val="bullet"/>
      <w:lvlText w:val=""/>
      <w:lvlJc w:val="left"/>
      <w:pPr>
        <w:tabs>
          <w:tab w:val="num" w:pos="1776"/>
        </w:tabs>
        <w:ind w:left="1776" w:hanging="360"/>
      </w:pPr>
      <w:rPr>
        <w:rFonts w:ascii="Symbol" w:hAnsi="Symbol" w:cs="Symbol" w:hint="default"/>
      </w:rPr>
    </w:lvl>
    <w:lvl w:ilvl="1">
      <w:start w:val="1"/>
      <w:numFmt w:val="lowerLetter"/>
      <w:lvlText w:val="%2."/>
      <w:lvlJc w:val="left"/>
      <w:pPr>
        <w:tabs>
          <w:tab w:val="num" w:pos="2496"/>
        </w:tabs>
        <w:ind w:left="2496" w:hanging="360"/>
      </w:p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abstractNum w:abstractNumId="43">
    <w:lvl w:ilvl="0">
      <w:start w:val="1"/>
      <w:numFmt w:val="bullet"/>
      <w:lvlText w:val=""/>
      <w:lvlJc w:val="left"/>
      <w:pPr>
        <w:tabs>
          <w:tab w:val="num" w:pos="1776"/>
        </w:tabs>
        <w:ind w:left="1776" w:hanging="360"/>
      </w:pPr>
      <w:rPr>
        <w:rFonts w:ascii="Symbol" w:hAnsi="Symbol" w:cs="Symbol"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abstractNum w:abstractNumId="44">
    <w:lvl w:ilvl="0">
      <w:start w:val="1"/>
      <w:numFmt w:val="lowerLetter"/>
      <w:lvlText w:val="%1."/>
      <w:lvlJc w:val="left"/>
      <w:pPr>
        <w:tabs>
          <w:tab w:val="num" w:pos="2136"/>
        </w:tabs>
        <w:ind w:left="2136" w:hanging="360"/>
      </w:pPr>
    </w:lvl>
    <w:lvl w:ilvl="1">
      <w:start w:val="1"/>
      <w:numFmt w:val="lowerLetter"/>
      <w:lvlText w:val="%2."/>
      <w:lvlJc w:val="left"/>
      <w:pPr>
        <w:tabs>
          <w:tab w:val="num" w:pos="2856"/>
        </w:tabs>
        <w:ind w:left="2856" w:hanging="360"/>
      </w:p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5">
    <w:lvl w:ilvl="0">
      <w:start w:val="1"/>
      <w:numFmt w:val="lowerLetter"/>
      <w:lvlText w:val="%1."/>
      <w:lvlJc w:val="left"/>
      <w:pPr>
        <w:tabs>
          <w:tab w:val="num" w:pos="2136"/>
        </w:tabs>
        <w:ind w:left="2136" w:hanging="360"/>
      </w:pPr>
    </w:lvl>
    <w:lvl w:ilvl="1">
      <w:start w:val="1"/>
      <w:numFmt w:val="lowerLetter"/>
      <w:lvlText w:val="%2."/>
      <w:lvlJc w:val="left"/>
      <w:pPr>
        <w:tabs>
          <w:tab w:val="num" w:pos="2856"/>
        </w:tabs>
        <w:ind w:left="2856" w:hanging="360"/>
      </w:p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6">
    <w:lvl w:ilvl="0">
      <w:start w:val="1"/>
      <w:numFmt w:val="bullet"/>
      <w:lvlText w:val=""/>
      <w:lvlJc w:val="left"/>
      <w:pPr>
        <w:tabs>
          <w:tab w:val="num" w:pos="1423"/>
        </w:tabs>
        <w:ind w:left="1423" w:hanging="360"/>
      </w:pPr>
      <w:rPr>
        <w:rFonts w:ascii="Wingdings" w:hAnsi="Wingdings" w:cs="Wingdings" w:hint="default"/>
      </w:rPr>
    </w:lvl>
    <w:lvl w:ilvl="1">
      <w:start w:val="1"/>
      <w:numFmt w:val="bullet"/>
      <w:lvlText w:val="o"/>
      <w:lvlJc w:val="left"/>
      <w:pPr>
        <w:tabs>
          <w:tab w:val="num" w:pos="2143"/>
        </w:tabs>
        <w:ind w:left="2143" w:hanging="360"/>
      </w:pPr>
      <w:rPr>
        <w:rFonts w:ascii="Courier New" w:hAnsi="Courier New" w:cs="Courier New" w:hint="default"/>
      </w:rPr>
    </w:lvl>
    <w:lvl w:ilvl="2">
      <w:start w:val="1"/>
      <w:numFmt w:val="bullet"/>
      <w:lvlText w:val=""/>
      <w:lvlJc w:val="left"/>
      <w:pPr>
        <w:tabs>
          <w:tab w:val="num" w:pos="2863"/>
        </w:tabs>
        <w:ind w:left="2863" w:hanging="360"/>
      </w:pPr>
      <w:rPr>
        <w:rFonts w:ascii="Wingdings" w:hAnsi="Wingdings" w:cs="Wingdings" w:hint="default"/>
      </w:rPr>
    </w:lvl>
    <w:lvl w:ilvl="3">
      <w:start w:val="1"/>
      <w:numFmt w:val="bullet"/>
      <w:lvlText w:val=""/>
      <w:lvlJc w:val="left"/>
      <w:pPr>
        <w:tabs>
          <w:tab w:val="num" w:pos="3583"/>
        </w:tabs>
        <w:ind w:left="3583" w:hanging="360"/>
      </w:pPr>
      <w:rPr>
        <w:rFonts w:ascii="Symbol" w:hAnsi="Symbol" w:cs="Symbol" w:hint="default"/>
      </w:rPr>
    </w:lvl>
    <w:lvl w:ilvl="4">
      <w:start w:val="1"/>
      <w:numFmt w:val="bullet"/>
      <w:lvlText w:val="o"/>
      <w:lvlJc w:val="left"/>
      <w:pPr>
        <w:tabs>
          <w:tab w:val="num" w:pos="4303"/>
        </w:tabs>
        <w:ind w:left="4303" w:hanging="360"/>
      </w:pPr>
      <w:rPr>
        <w:rFonts w:ascii="Courier New" w:hAnsi="Courier New" w:cs="Courier New" w:hint="default"/>
      </w:rPr>
    </w:lvl>
    <w:lvl w:ilvl="5">
      <w:start w:val="1"/>
      <w:numFmt w:val="bullet"/>
      <w:lvlText w:val=""/>
      <w:lvlJc w:val="left"/>
      <w:pPr>
        <w:tabs>
          <w:tab w:val="num" w:pos="5023"/>
        </w:tabs>
        <w:ind w:left="5023" w:hanging="360"/>
      </w:pPr>
      <w:rPr>
        <w:rFonts w:ascii="Wingdings" w:hAnsi="Wingdings" w:cs="Wingdings" w:hint="default"/>
      </w:rPr>
    </w:lvl>
    <w:lvl w:ilvl="6">
      <w:start w:val="1"/>
      <w:numFmt w:val="bullet"/>
      <w:lvlText w:val=""/>
      <w:lvlJc w:val="left"/>
      <w:pPr>
        <w:tabs>
          <w:tab w:val="num" w:pos="5743"/>
        </w:tabs>
        <w:ind w:left="5743" w:hanging="360"/>
      </w:pPr>
      <w:rPr>
        <w:rFonts w:ascii="Symbol" w:hAnsi="Symbol" w:cs="Symbol" w:hint="default"/>
      </w:rPr>
    </w:lvl>
    <w:lvl w:ilvl="7">
      <w:start w:val="1"/>
      <w:numFmt w:val="bullet"/>
      <w:lvlText w:val="o"/>
      <w:lvlJc w:val="left"/>
      <w:pPr>
        <w:tabs>
          <w:tab w:val="num" w:pos="6463"/>
        </w:tabs>
        <w:ind w:left="6463" w:hanging="360"/>
      </w:pPr>
      <w:rPr>
        <w:rFonts w:ascii="Courier New" w:hAnsi="Courier New" w:cs="Courier New" w:hint="default"/>
      </w:rPr>
    </w:lvl>
    <w:lvl w:ilvl="8">
      <w:start w:val="1"/>
      <w:numFmt w:val="bullet"/>
      <w:lvlText w:val=""/>
      <w:lvlJc w:val="left"/>
      <w:pPr>
        <w:tabs>
          <w:tab w:val="num" w:pos="7183"/>
        </w:tabs>
        <w:ind w:left="7183" w:hanging="360"/>
      </w:pPr>
      <w:rPr>
        <w:rFonts w:ascii="Wingdings" w:hAnsi="Wingdings" w:cs="Wingdings" w:hint="default"/>
      </w:rPr>
    </w:lvl>
  </w:abstractNum>
  <w:abstractNum w:abstractNumId="47">
    <w:lvl w:ilvl="0">
      <w:start w:val="1"/>
      <w:numFmt w:val="bullet"/>
      <w:lvlText w:val=""/>
      <w:lvlJc w:val="left"/>
      <w:pPr>
        <w:tabs>
          <w:tab w:val="num" w:pos="1425"/>
        </w:tabs>
        <w:ind w:left="1425" w:hanging="360"/>
      </w:pPr>
      <w:rPr>
        <w:rFonts w:ascii="Wingdings" w:hAnsi="Wingdings" w:cs="Wingdings" w:hint="default"/>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cs="Wingdings" w:hint="default"/>
      </w:rPr>
    </w:lvl>
    <w:lvl w:ilvl="3">
      <w:start w:val="1"/>
      <w:numFmt w:val="bullet"/>
      <w:lvlText w:val=""/>
      <w:lvlJc w:val="left"/>
      <w:pPr>
        <w:tabs>
          <w:tab w:val="num" w:pos="3585"/>
        </w:tabs>
        <w:ind w:left="3585" w:hanging="360"/>
      </w:pPr>
      <w:rPr>
        <w:rFonts w:ascii="Symbol" w:hAnsi="Symbol" w:cs="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cs="Wingdings" w:hint="default"/>
      </w:rPr>
    </w:lvl>
    <w:lvl w:ilvl="6">
      <w:start w:val="1"/>
      <w:numFmt w:val="bullet"/>
      <w:lvlText w:val=""/>
      <w:lvlJc w:val="left"/>
      <w:pPr>
        <w:tabs>
          <w:tab w:val="num" w:pos="5745"/>
        </w:tabs>
        <w:ind w:left="5745" w:hanging="360"/>
      </w:pPr>
      <w:rPr>
        <w:rFonts w:ascii="Symbol" w:hAnsi="Symbol" w:cs="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cs="Wingdings" w:hint="default"/>
      </w:rPr>
    </w:lvl>
  </w:abstractNum>
  <w:abstractNum w:abstractNumId="48">
    <w:lvl w:ilvl="0">
      <w:start w:val="1"/>
      <w:numFmt w:val="decimal"/>
      <w:lvlText w:val="%1."/>
      <w:lvlJc w:val="left"/>
      <w:pPr>
        <w:tabs>
          <w:tab w:val="num" w:pos="1065"/>
        </w:tabs>
        <w:ind w:left="1065" w:hanging="705"/>
      </w:pPr>
    </w:lvl>
    <w:lvl w:ilvl="1">
      <w:start w:val="1"/>
      <w:numFmt w:val="lowerLetter"/>
      <w:lvlText w:val="%2."/>
      <w:lvlJc w:val="left"/>
      <w:pPr>
        <w:tabs>
          <w:tab w:val="num" w:pos="1785"/>
        </w:tabs>
        <w:ind w:left="1785" w:hanging="705"/>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w="http://schemas.openxmlformats.org/wordprocessingml/2006/main">
  <w:zoom w:percent="181"/>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842ad6"/>
    <w:pPr>
      <w:widowControl/>
      <w:suppressAutoHyphens w:val="true"/>
      <w:bidi w:val="0"/>
      <w:jc w:val="left"/>
    </w:pPr>
    <w:rPr>
      <w:rFonts w:ascii="Tahoma" w:hAnsi="Tahoma" w:eastAsia="Times New Roman" w:cs="Times New Roman"/>
      <w:color w:val="00000A"/>
      <w:sz w:val="24"/>
      <w:szCs w:val="24"/>
      <w:lang w:val="en-US" w:eastAsia="en-US" w:bidi="ar-SA"/>
    </w:rPr>
  </w:style>
  <w:style w:type="paragraph" w:styleId="Encabezado1">
    <w:name w:val="Encabezado 1"/>
    <w:basedOn w:val="Normal"/>
    <w:next w:val="Normal"/>
    <w:qFormat/>
    <w:rsid w:val="00842ad6"/>
    <w:pPr>
      <w:keepNext/>
      <w:outlineLvl w:val="0"/>
    </w:pPr>
    <w:rPr>
      <w:rFonts w:ascii="Arial Narrow" w:hAnsi="Arial Narrow"/>
      <w:b/>
      <w:sz w:val="28"/>
      <w:szCs w:val="20"/>
      <w:lang w:val="en-US" w:eastAsia="es-ES"/>
    </w:rPr>
  </w:style>
  <w:style w:type="paragraph" w:styleId="Encabezado2">
    <w:name w:val="Encabezado 2"/>
    <w:basedOn w:val="Normal"/>
    <w:next w:val="Normal"/>
    <w:qFormat/>
    <w:rsid w:val="00842ad6"/>
    <w:pPr>
      <w:keepNext/>
      <w:jc w:val="center"/>
      <w:outlineLvl w:val="1"/>
    </w:pPr>
    <w:rPr>
      <w:rFonts w:ascii="Times New Roman" w:hAnsi="Times New Roman"/>
      <w:b/>
      <w:smallCaps/>
      <w:szCs w:val="20"/>
      <w:lang w:val="es-ES" w:eastAsia="es-ES"/>
    </w:rPr>
  </w:style>
  <w:style w:type="paragraph" w:styleId="Encabezado3">
    <w:name w:val="Encabezado 3"/>
    <w:basedOn w:val="Normal"/>
    <w:next w:val="Normal"/>
    <w:qFormat/>
    <w:rsid w:val="00842ad6"/>
    <w:pPr>
      <w:keepNext/>
      <w:outlineLvl w:val="2"/>
    </w:pPr>
    <w:rPr>
      <w:rFonts w:ascii="Times New Roman" w:hAnsi="Times New Roman"/>
      <w:b/>
      <w:bCs/>
      <w:smallCaps/>
      <w:szCs w:val="20"/>
      <w:lang w:val="en-US" w:eastAsia="es-ES"/>
    </w:rPr>
  </w:style>
  <w:style w:type="paragraph" w:styleId="Encabezado4">
    <w:name w:val="Encabezado 4"/>
    <w:basedOn w:val="Normal"/>
    <w:next w:val="Normal"/>
    <w:qFormat/>
    <w:rsid w:val="00842ad6"/>
    <w:pPr>
      <w:keepNext/>
      <w:outlineLvl w:val="3"/>
    </w:pPr>
    <w:rPr>
      <w:rFonts w:ascii="Arial" w:hAnsi="Arial" w:cs="Arial"/>
      <w:b/>
      <w:bCs/>
      <w:sz w:val="22"/>
      <w:szCs w:val="22"/>
      <w:lang w:val="es-ES"/>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qFormat/>
    <w:rsid w:val="00df4402"/>
    <w:rPr>
      <w:b/>
      <w:bCs/>
      <w:sz w:val="28"/>
      <w:szCs w:val="24"/>
      <w:lang w:val="es-ES" w:eastAsia="es-ES"/>
    </w:rPr>
  </w:style>
  <w:style w:type="character" w:styleId="SubtitleChar" w:customStyle="1">
    <w:name w:val="Subtitle Char"/>
    <w:basedOn w:val="DefaultParagraphFont"/>
    <w:link w:val="Subtitle"/>
    <w:qFormat/>
    <w:rsid w:val="00df4402"/>
    <w:rPr>
      <w:b/>
      <w:bCs/>
      <w:sz w:val="32"/>
      <w:szCs w:val="24"/>
      <w:lang w:val="es-ES" w:eastAsia="es-ES"/>
    </w:rPr>
  </w:style>
  <w:style w:type="character" w:styleId="BodyTextIndentChar" w:customStyle="1">
    <w:name w:val="Body Text Indent Char"/>
    <w:basedOn w:val="DefaultParagraphFont"/>
    <w:link w:val="BodyTextIndent"/>
    <w:qFormat/>
    <w:rsid w:val="00a908a3"/>
    <w:rPr>
      <w:rFonts w:ascii="Tahoma" w:hAnsi="Tahoma"/>
      <w:sz w:val="24"/>
      <w:szCs w:val="24"/>
    </w:rPr>
  </w:style>
  <w:style w:type="character" w:styleId="BodyTextIndent2Char" w:customStyle="1">
    <w:name w:val="Body Text Indent 2 Char"/>
    <w:basedOn w:val="DefaultParagraphFont"/>
    <w:link w:val="BodyTextIndent2"/>
    <w:qFormat/>
    <w:rsid w:val="00a908a3"/>
    <w:rPr>
      <w:rFonts w:ascii="Tahoma" w:hAnsi="Tahoma"/>
      <w:sz w:val="24"/>
      <w:szCs w:val="24"/>
    </w:rPr>
  </w:style>
  <w:style w:type="character" w:styleId="BodyTextIndent3Char" w:customStyle="1">
    <w:name w:val="Body Text Indent 3 Char"/>
    <w:basedOn w:val="DefaultParagraphFont"/>
    <w:link w:val="BodyTextIndent3"/>
    <w:qFormat/>
    <w:rsid w:val="00a908a3"/>
    <w:rPr>
      <w:rFonts w:ascii="Tahoma" w:hAnsi="Tahoma"/>
      <w:sz w:val="16"/>
      <w:szCs w:val="16"/>
    </w:rPr>
  </w:style>
  <w:style w:type="character" w:styleId="ListLabel1">
    <w:name w:val="ListLabel 1"/>
    <w:qFormat/>
    <w:rPr>
      <w:rFonts w:cs="Wingdings"/>
    </w:rPr>
  </w:style>
  <w:style w:type="character" w:styleId="ListLabel2">
    <w:name w:val="ListLabel 2"/>
    <w:qFormat/>
    <w:rPr>
      <w:rFonts w:cs="Symbol"/>
    </w:rPr>
  </w:style>
  <w:style w:type="character" w:styleId="ListLabel3">
    <w:name w:val="ListLabel 3"/>
    <w:qFormat/>
    <w:rPr>
      <w:rFonts w:cs="Courier New"/>
    </w:rPr>
  </w:style>
  <w:style w:type="paragraph" w:styleId="Encabezado">
    <w:name w:val="Encabezado"/>
    <w:basedOn w:val="Normal"/>
    <w:next w:val="Cuerpodetexto"/>
    <w:qFormat/>
    <w:pPr>
      <w:keepNext/>
      <w:spacing w:before="240" w:after="120"/>
    </w:pPr>
    <w:rPr>
      <w:rFonts w:ascii="Liberation Sans" w:hAnsi="Liberation Sans" w:eastAsia="Microsoft YaHei" w:cs="Mangal"/>
      <w:sz w:val="28"/>
      <w:szCs w:val="28"/>
    </w:rPr>
  </w:style>
  <w:style w:type="paragraph" w:styleId="Cuerpodetexto">
    <w:name w:val="Cuerpo de texto"/>
    <w:basedOn w:val="Normal"/>
    <w:rsid w:val="00842ad6"/>
    <w:pPr>
      <w:jc w:val="center"/>
    </w:pPr>
    <w:rPr>
      <w:rFonts w:ascii="Arial Narrow" w:hAnsi="Arial Narrow"/>
      <w:i/>
      <w:iCs/>
      <w:sz w:val="16"/>
      <w:lang w:val="es-MX" w:eastAsia="es-ES"/>
    </w:rPr>
  </w:style>
  <w:style w:type="paragraph" w:styleId="Lista">
    <w:name w:val="Lista"/>
    <w:basedOn w:val="Cuerpodetexto"/>
    <w:pPr/>
    <w:rPr>
      <w:rFonts w:cs="Mangal"/>
    </w:rPr>
  </w:style>
  <w:style w:type="paragraph" w:styleId="Leyenda">
    <w:name w:val="Ley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Ttulo">
    <w:name w:val="Título"/>
    <w:basedOn w:val="Normal"/>
    <w:link w:val="TitleChar"/>
    <w:qFormat/>
    <w:rsid w:val="00df4402"/>
    <w:pPr>
      <w:jc w:val="center"/>
    </w:pPr>
    <w:rPr>
      <w:rFonts w:ascii="Times New Roman" w:hAnsi="Times New Roman"/>
      <w:b/>
      <w:bCs/>
      <w:sz w:val="28"/>
      <w:lang w:val="es-ES" w:eastAsia="es-ES"/>
    </w:rPr>
  </w:style>
  <w:style w:type="paragraph" w:styleId="Subttulo">
    <w:name w:val="Subtítulo"/>
    <w:basedOn w:val="Normal"/>
    <w:link w:val="SubtitleChar"/>
    <w:qFormat/>
    <w:rsid w:val="00df4402"/>
    <w:pPr>
      <w:jc w:val="center"/>
    </w:pPr>
    <w:rPr>
      <w:rFonts w:ascii="Times New Roman" w:hAnsi="Times New Roman"/>
      <w:b/>
      <w:bCs/>
      <w:sz w:val="32"/>
      <w:lang w:val="es-ES" w:eastAsia="es-ES"/>
    </w:rPr>
  </w:style>
  <w:style w:type="paragraph" w:styleId="Cuerpodetextoconsangra">
    <w:name w:val="Cuerpo de texto con sangría"/>
    <w:basedOn w:val="Normal"/>
    <w:link w:val="BodyTextIndentChar"/>
    <w:rsid w:val="00a908a3"/>
    <w:pPr>
      <w:spacing w:before="0" w:after="120"/>
      <w:ind w:left="283" w:hanging="0"/>
    </w:pPr>
    <w:rPr/>
  </w:style>
  <w:style w:type="paragraph" w:styleId="BodyTextIndent2">
    <w:name w:val="Body Text Indent 2"/>
    <w:basedOn w:val="Normal"/>
    <w:link w:val="BodyTextIndent2Char"/>
    <w:qFormat/>
    <w:rsid w:val="00a908a3"/>
    <w:pPr>
      <w:spacing w:lineRule="auto" w:line="480" w:before="0" w:after="120"/>
      <w:ind w:left="283" w:hanging="0"/>
    </w:pPr>
    <w:rPr/>
  </w:style>
  <w:style w:type="paragraph" w:styleId="BodyTextIndent3">
    <w:name w:val="Body Text Indent 3"/>
    <w:basedOn w:val="Normal"/>
    <w:link w:val="BodyTextIndent3Char"/>
    <w:qFormat/>
    <w:rsid w:val="00a908a3"/>
    <w:pPr>
      <w:spacing w:before="0" w:after="120"/>
      <w:ind w:left="283" w:hanging="0"/>
    </w:pPr>
    <w:rPr>
      <w:sz w:val="16"/>
      <w:szCs w:val="16"/>
    </w:rPr>
  </w:style>
  <w:style w:type="paragraph" w:styleId="ListParagraph">
    <w:name w:val="List Paragraph"/>
    <w:basedOn w:val="Normal"/>
    <w:uiPriority w:val="34"/>
    <w:qFormat/>
    <w:rsid w:val="00d57288"/>
    <w:pPr>
      <w:spacing w:lineRule="auto" w:line="276" w:before="0" w:after="200"/>
      <w:ind w:left="720" w:hanging="0"/>
      <w:contextualSpacing/>
    </w:pPr>
    <w:rPr>
      <w:rFonts w:ascii="Calibri" w:hAnsi="Calibri" w:eastAsia="Calibri"/>
      <w:sz w:val="22"/>
      <w:szCs w:val="22"/>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733d23"/>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oleObject" Target="embeddings/oleObject2.bin"/><Relationship Id="rId5" Type="http://schemas.openxmlformats.org/officeDocument/2006/relationships/image" Target="media/image2.e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LibreOffice/4.4.3.2$Windows_x86 LibreOffice_project/88805f81e9fe61362df02b9941de8e38a9b5fd16</Application>
  <Paragraphs>429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2016-01-20T14:24:00Z</dcterms:created>
  <dc:creator>Chih Hao Chen Ku</dc:creator>
  <dc:language>es-CR</dc:language>
  <cp:lastPrinted>2014-02-09T22:47:00Z</cp:lastPrinted>
  <dcterms:modified xsi:type="dcterms:W3CDTF">2016-03-16T15:20:56Z</dcterms:modified>
  <cp:revision>5</cp:revision>
  <dc:title>Programa tentativo para I semestre 2003, farmacología clínica Hospital San Juan de Dios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